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6E364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cs="仿宋"/>
          <w:lang w:eastAsia="zh-CN"/>
        </w:rPr>
      </w:pPr>
    </w:p>
    <w:p w14:paraId="52B1D339">
      <w:pPr>
        <w:pStyle w:val="18"/>
        <w:keepNext w:val="0"/>
        <w:keepLines w:val="0"/>
        <w:pageBreakBefore w:val="0"/>
        <w:widowControl w:val="0"/>
        <w:kinsoku/>
        <w:wordWrap/>
        <w:overflowPunct/>
        <w:topLinePunct w:val="0"/>
        <w:autoSpaceDE/>
        <w:autoSpaceDN/>
        <w:bidi w:val="0"/>
        <w:adjustRightInd/>
        <w:snapToGrid/>
        <w:spacing w:after="0"/>
        <w:ind w:firstLine="0" w:firstLineChars="0"/>
        <w:jc w:val="center"/>
        <w:textAlignment w:val="auto"/>
        <w:rPr>
          <w:rFonts w:hint="eastAsia" w:ascii="黑体" w:hAnsi="黑体" w:eastAsia="黑体" w:cs="仿宋"/>
          <w:b/>
          <w:bCs/>
          <w:spacing w:val="23"/>
          <w:sz w:val="52"/>
          <w:szCs w:val="52"/>
          <w:lang w:eastAsia="zh-CN"/>
        </w:rPr>
      </w:pPr>
      <w:bookmarkStart w:id="0" w:name="_Toc26645"/>
      <w:bookmarkStart w:id="1" w:name="_Toc21290"/>
    </w:p>
    <w:p w14:paraId="7E74444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仿宋"/>
          <w:sz w:val="10"/>
          <w:szCs w:val="10"/>
          <w:lang w:eastAsia="zh-CN"/>
        </w:rPr>
      </w:pPr>
    </w:p>
    <w:p w14:paraId="39BFC57C">
      <w:pPr>
        <w:pStyle w:val="18"/>
        <w:keepNext w:val="0"/>
        <w:keepLines w:val="0"/>
        <w:pageBreakBefore w:val="0"/>
        <w:widowControl w:val="0"/>
        <w:kinsoku/>
        <w:wordWrap/>
        <w:overflowPunct/>
        <w:topLinePunct w:val="0"/>
        <w:autoSpaceDE/>
        <w:autoSpaceDN/>
        <w:bidi w:val="0"/>
        <w:adjustRightInd/>
        <w:snapToGrid/>
        <w:spacing w:after="0" w:line="480" w:lineRule="auto"/>
        <w:ind w:firstLine="0" w:firstLineChars="0"/>
        <w:jc w:val="center"/>
        <w:textAlignment w:val="auto"/>
        <w:outlineLvl w:val="0"/>
        <w:rPr>
          <w:rFonts w:hint="eastAsia" w:ascii="黑体" w:hAnsi="黑体" w:eastAsia="黑体" w:cs="Times New Roman"/>
          <w:b/>
          <w:bCs/>
          <w:kern w:val="2"/>
          <w:sz w:val="48"/>
          <w:szCs w:val="48"/>
          <w:highlight w:val="none"/>
          <w:lang w:val="en-US" w:eastAsia="zh-CN" w:bidi="ar-SA"/>
        </w:rPr>
      </w:pPr>
      <w:bookmarkStart w:id="2" w:name="_Toc28955"/>
      <w:bookmarkStart w:id="3" w:name="_Toc8041"/>
      <w:bookmarkStart w:id="4" w:name="_Toc13287"/>
      <w:bookmarkStart w:id="5" w:name="_Toc16069"/>
      <w:bookmarkStart w:id="6" w:name="_Toc22155"/>
      <w:bookmarkStart w:id="7" w:name="_Toc22794"/>
      <w:bookmarkStart w:id="8" w:name="_Toc4225"/>
      <w:bookmarkStart w:id="9" w:name="_Toc11331"/>
      <w:r>
        <w:rPr>
          <w:rFonts w:hint="eastAsia" w:ascii="黑体" w:hAnsi="黑体" w:eastAsia="黑体" w:cs="Times New Roman"/>
          <w:b/>
          <w:bCs/>
          <w:kern w:val="2"/>
          <w:sz w:val="48"/>
          <w:szCs w:val="48"/>
          <w:highlight w:val="none"/>
          <w:lang w:val="en-US" w:eastAsia="zh-CN" w:bidi="ar-SA"/>
        </w:rPr>
        <w:t>常山县油茶产业扩面提质示范建设项目</w:t>
      </w:r>
      <w:bookmarkEnd w:id="0"/>
      <w:bookmarkEnd w:id="1"/>
      <w:bookmarkEnd w:id="2"/>
      <w:bookmarkEnd w:id="3"/>
      <w:bookmarkEnd w:id="4"/>
      <w:bookmarkEnd w:id="5"/>
      <w:bookmarkEnd w:id="6"/>
      <w:bookmarkEnd w:id="7"/>
      <w:bookmarkEnd w:id="8"/>
      <w:bookmarkEnd w:id="9"/>
      <w:bookmarkStart w:id="10" w:name="_Toc7723"/>
      <w:bookmarkStart w:id="11" w:name="_Toc5768"/>
      <w:bookmarkStart w:id="12" w:name="_Toc29291"/>
      <w:bookmarkStart w:id="13" w:name="_Toc8061"/>
      <w:bookmarkStart w:id="14" w:name="_Toc4545"/>
      <w:bookmarkStart w:id="15" w:name="_Toc533"/>
    </w:p>
    <w:p w14:paraId="383EDD29">
      <w:pPr>
        <w:pStyle w:val="18"/>
        <w:keepNext w:val="0"/>
        <w:keepLines w:val="0"/>
        <w:pageBreakBefore w:val="0"/>
        <w:widowControl w:val="0"/>
        <w:kinsoku/>
        <w:wordWrap/>
        <w:overflowPunct/>
        <w:topLinePunct w:val="0"/>
        <w:autoSpaceDE/>
        <w:autoSpaceDN/>
        <w:bidi w:val="0"/>
        <w:adjustRightInd/>
        <w:snapToGrid/>
        <w:spacing w:after="0" w:line="480" w:lineRule="auto"/>
        <w:ind w:firstLine="0" w:firstLineChars="0"/>
        <w:jc w:val="center"/>
        <w:textAlignment w:val="auto"/>
        <w:rPr>
          <w:rFonts w:hint="eastAsia" w:ascii="黑体" w:hAnsi="黑体" w:eastAsia="黑体" w:cs="Times New Roman"/>
          <w:b/>
          <w:bCs/>
          <w:kern w:val="2"/>
          <w:sz w:val="44"/>
          <w:szCs w:val="44"/>
          <w:highlight w:val="none"/>
          <w:lang w:val="en-US" w:eastAsia="zh-CN" w:bidi="ar-SA"/>
        </w:rPr>
      </w:pPr>
    </w:p>
    <w:bookmarkEnd w:id="10"/>
    <w:bookmarkEnd w:id="11"/>
    <w:bookmarkEnd w:id="12"/>
    <w:bookmarkEnd w:id="13"/>
    <w:bookmarkEnd w:id="14"/>
    <w:bookmarkEnd w:id="15"/>
    <w:p w14:paraId="10AF2B0F">
      <w:pPr>
        <w:pStyle w:val="18"/>
        <w:keepNext w:val="0"/>
        <w:keepLines w:val="0"/>
        <w:pageBreakBefore w:val="0"/>
        <w:widowControl w:val="0"/>
        <w:kinsoku/>
        <w:wordWrap/>
        <w:overflowPunct/>
        <w:topLinePunct w:val="0"/>
        <w:autoSpaceDE/>
        <w:autoSpaceDN/>
        <w:bidi w:val="0"/>
        <w:adjustRightInd/>
        <w:snapToGrid/>
        <w:spacing w:after="0" w:line="480" w:lineRule="auto"/>
        <w:ind w:firstLine="0" w:firstLineChars="0"/>
        <w:jc w:val="center"/>
        <w:textAlignment w:val="auto"/>
        <w:outlineLvl w:val="0"/>
        <w:rPr>
          <w:rFonts w:hint="eastAsia" w:ascii="黑体" w:hAnsi="黑体" w:eastAsia="黑体" w:cs="Times New Roman"/>
          <w:b/>
          <w:bCs/>
          <w:kern w:val="2"/>
          <w:sz w:val="44"/>
          <w:szCs w:val="44"/>
          <w:highlight w:val="none"/>
          <w:lang w:val="en-US" w:eastAsia="zh-CN" w:bidi="ar-SA"/>
        </w:rPr>
      </w:pPr>
      <w:bookmarkStart w:id="16" w:name="_Toc5452"/>
      <w:bookmarkStart w:id="17" w:name="_Toc17549"/>
      <w:bookmarkStart w:id="18" w:name="_Toc6212"/>
      <w:bookmarkStart w:id="19" w:name="_Toc10292"/>
      <w:r>
        <w:rPr>
          <w:rFonts w:hint="eastAsia" w:ascii="黑体" w:hAnsi="黑体" w:eastAsia="黑体" w:cs="Times New Roman"/>
          <w:b/>
          <w:bCs/>
          <w:kern w:val="2"/>
          <w:sz w:val="44"/>
          <w:szCs w:val="44"/>
          <w:highlight w:val="none"/>
          <w:lang w:val="en-US" w:eastAsia="zh-CN" w:bidi="ar-SA"/>
        </w:rPr>
        <w:t>实施方案（第三批）</w:t>
      </w:r>
      <w:bookmarkEnd w:id="16"/>
      <w:bookmarkEnd w:id="17"/>
      <w:bookmarkEnd w:id="18"/>
      <w:bookmarkEnd w:id="19"/>
    </w:p>
    <w:p w14:paraId="31E96647">
      <w:pPr>
        <w:pStyle w:val="18"/>
        <w:keepNext w:val="0"/>
        <w:keepLines w:val="0"/>
        <w:pageBreakBefore w:val="0"/>
        <w:widowControl w:val="0"/>
        <w:kinsoku/>
        <w:wordWrap/>
        <w:overflowPunct/>
        <w:topLinePunct w:val="0"/>
        <w:autoSpaceDE/>
        <w:autoSpaceDN/>
        <w:bidi w:val="0"/>
        <w:adjustRightInd/>
        <w:snapToGrid/>
        <w:spacing w:after="0" w:line="480" w:lineRule="auto"/>
        <w:ind w:firstLine="0" w:firstLineChars="0"/>
        <w:jc w:val="center"/>
        <w:textAlignment w:val="auto"/>
        <w:outlineLvl w:val="0"/>
        <w:rPr>
          <w:rFonts w:hint="eastAsia" w:ascii="黑体" w:hAnsi="黑体" w:eastAsia="黑体" w:cs="Times New Roman"/>
          <w:b/>
          <w:bCs/>
          <w:kern w:val="2"/>
          <w:sz w:val="44"/>
          <w:szCs w:val="44"/>
          <w:highlight w:val="none"/>
          <w:lang w:val="en-US" w:eastAsia="zh-CN" w:bidi="ar-SA"/>
        </w:rPr>
      </w:pPr>
    </w:p>
    <w:p w14:paraId="7400E092">
      <w:pPr>
        <w:pStyle w:val="18"/>
        <w:keepNext w:val="0"/>
        <w:keepLines w:val="0"/>
        <w:pageBreakBefore w:val="0"/>
        <w:widowControl w:val="0"/>
        <w:kinsoku/>
        <w:wordWrap/>
        <w:overflowPunct/>
        <w:topLinePunct w:val="0"/>
        <w:autoSpaceDE/>
        <w:autoSpaceDN/>
        <w:bidi w:val="0"/>
        <w:adjustRightInd/>
        <w:snapToGrid/>
        <w:spacing w:after="0" w:line="480" w:lineRule="auto"/>
        <w:ind w:firstLine="0" w:firstLineChars="0"/>
        <w:jc w:val="center"/>
        <w:textAlignment w:val="auto"/>
        <w:outlineLvl w:val="0"/>
        <w:rPr>
          <w:rFonts w:hint="eastAsia" w:ascii="楷体" w:hAnsi="楷体" w:eastAsia="楷体" w:cs="楷体"/>
          <w:b/>
          <w:bCs/>
          <w:kern w:val="2"/>
          <w:sz w:val="44"/>
          <w:szCs w:val="44"/>
          <w:highlight w:val="none"/>
          <w:lang w:val="en-US" w:eastAsia="zh-CN" w:bidi="ar-SA"/>
        </w:rPr>
      </w:pPr>
      <w:r>
        <w:rPr>
          <w:rFonts w:hint="eastAsia" w:ascii="楷体" w:hAnsi="楷体" w:eastAsia="楷体" w:cs="楷体"/>
          <w:b/>
          <w:bCs/>
          <w:kern w:val="2"/>
          <w:sz w:val="44"/>
          <w:szCs w:val="44"/>
          <w:highlight w:val="none"/>
          <w:lang w:val="en-US" w:eastAsia="zh-CN" w:bidi="ar-SA"/>
        </w:rPr>
        <w:t>白石镇片区</w:t>
      </w:r>
    </w:p>
    <w:p w14:paraId="6F8055E2">
      <w:pPr>
        <w:keepNext w:val="0"/>
        <w:keepLines w:val="0"/>
        <w:pageBreakBefore w:val="0"/>
        <w:widowControl w:val="0"/>
        <w:kinsoku/>
        <w:wordWrap/>
        <w:overflowPunct/>
        <w:topLinePunct w:val="0"/>
        <w:autoSpaceDE/>
        <w:autoSpaceDN/>
        <w:bidi w:val="0"/>
        <w:adjustRightInd/>
        <w:snapToGrid/>
        <w:spacing w:after="0"/>
        <w:ind w:firstLine="0" w:firstLineChars="0"/>
        <w:jc w:val="center"/>
        <w:textAlignment w:val="auto"/>
        <w:rPr>
          <w:rFonts w:hint="eastAsia" w:cs="仿宋"/>
          <w:b/>
          <w:bCs/>
          <w:sz w:val="36"/>
          <w:szCs w:val="36"/>
          <w:lang w:eastAsia="zh-CN"/>
        </w:rPr>
      </w:pPr>
      <w:bookmarkStart w:id="20" w:name="_Toc23793"/>
    </w:p>
    <w:p w14:paraId="50F01A8D">
      <w:pPr>
        <w:keepNext w:val="0"/>
        <w:keepLines w:val="0"/>
        <w:pageBreakBefore w:val="0"/>
        <w:widowControl w:val="0"/>
        <w:kinsoku/>
        <w:wordWrap/>
        <w:overflowPunct/>
        <w:topLinePunct w:val="0"/>
        <w:autoSpaceDE/>
        <w:autoSpaceDN/>
        <w:bidi w:val="0"/>
        <w:adjustRightInd/>
        <w:snapToGrid/>
        <w:spacing w:after="0"/>
        <w:ind w:firstLine="0" w:firstLineChars="0"/>
        <w:jc w:val="center"/>
        <w:textAlignment w:val="auto"/>
        <w:rPr>
          <w:rFonts w:hint="eastAsia" w:cs="仿宋"/>
          <w:b/>
          <w:bCs/>
          <w:sz w:val="36"/>
          <w:szCs w:val="36"/>
          <w:lang w:eastAsia="zh-CN"/>
        </w:rPr>
      </w:pPr>
    </w:p>
    <w:p w14:paraId="67628069">
      <w:pPr>
        <w:keepNext w:val="0"/>
        <w:keepLines w:val="0"/>
        <w:pageBreakBefore w:val="0"/>
        <w:widowControl w:val="0"/>
        <w:kinsoku/>
        <w:wordWrap/>
        <w:overflowPunct/>
        <w:topLinePunct w:val="0"/>
        <w:autoSpaceDE/>
        <w:autoSpaceDN/>
        <w:bidi w:val="0"/>
        <w:adjustRightInd/>
        <w:snapToGrid/>
        <w:spacing w:after="0"/>
        <w:ind w:firstLine="0" w:firstLineChars="0"/>
        <w:jc w:val="center"/>
        <w:textAlignment w:val="auto"/>
        <w:rPr>
          <w:rFonts w:hint="eastAsia" w:cs="仿宋"/>
          <w:b/>
          <w:bCs/>
          <w:sz w:val="36"/>
          <w:szCs w:val="36"/>
          <w:lang w:eastAsia="zh-CN"/>
        </w:rPr>
      </w:pPr>
    </w:p>
    <w:p w14:paraId="59C93AC2">
      <w:pPr>
        <w:keepNext w:val="0"/>
        <w:keepLines w:val="0"/>
        <w:pageBreakBefore w:val="0"/>
        <w:widowControl w:val="0"/>
        <w:kinsoku/>
        <w:wordWrap/>
        <w:overflowPunct/>
        <w:topLinePunct w:val="0"/>
        <w:autoSpaceDE/>
        <w:autoSpaceDN/>
        <w:bidi w:val="0"/>
        <w:adjustRightInd/>
        <w:snapToGrid/>
        <w:spacing w:after="0"/>
        <w:ind w:firstLine="0" w:firstLineChars="0"/>
        <w:jc w:val="center"/>
        <w:textAlignment w:val="auto"/>
        <w:rPr>
          <w:rFonts w:hint="eastAsia" w:cs="仿宋"/>
          <w:b/>
          <w:bCs/>
          <w:sz w:val="36"/>
          <w:szCs w:val="36"/>
          <w:lang w:eastAsia="zh-CN"/>
        </w:rPr>
      </w:pPr>
    </w:p>
    <w:p w14:paraId="59F5FA50">
      <w:pPr>
        <w:keepNext w:val="0"/>
        <w:keepLines w:val="0"/>
        <w:pageBreakBefore w:val="0"/>
        <w:widowControl w:val="0"/>
        <w:kinsoku/>
        <w:wordWrap/>
        <w:overflowPunct/>
        <w:topLinePunct w:val="0"/>
        <w:autoSpaceDE/>
        <w:autoSpaceDN/>
        <w:bidi w:val="0"/>
        <w:adjustRightInd/>
        <w:snapToGrid/>
        <w:spacing w:after="0"/>
        <w:ind w:firstLine="0" w:firstLineChars="0"/>
        <w:jc w:val="center"/>
        <w:textAlignment w:val="auto"/>
        <w:rPr>
          <w:rFonts w:hint="eastAsia" w:cs="仿宋"/>
          <w:b/>
          <w:bCs/>
          <w:sz w:val="36"/>
          <w:szCs w:val="36"/>
          <w:lang w:eastAsia="zh-CN"/>
        </w:rPr>
      </w:pPr>
    </w:p>
    <w:p w14:paraId="42742A06">
      <w:pPr>
        <w:keepNext w:val="0"/>
        <w:keepLines w:val="0"/>
        <w:pageBreakBefore w:val="0"/>
        <w:widowControl w:val="0"/>
        <w:kinsoku/>
        <w:wordWrap/>
        <w:overflowPunct/>
        <w:topLinePunct w:val="0"/>
        <w:autoSpaceDE/>
        <w:autoSpaceDN/>
        <w:bidi w:val="0"/>
        <w:adjustRightInd/>
        <w:snapToGrid/>
        <w:spacing w:after="0"/>
        <w:ind w:firstLine="0" w:firstLineChars="0"/>
        <w:jc w:val="center"/>
        <w:textAlignment w:val="auto"/>
        <w:rPr>
          <w:rFonts w:hint="eastAsia" w:cs="仿宋"/>
          <w:b/>
          <w:bCs/>
          <w:sz w:val="36"/>
          <w:szCs w:val="36"/>
          <w:lang w:eastAsia="zh-CN"/>
        </w:rPr>
      </w:pPr>
    </w:p>
    <w:p w14:paraId="0973AFC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仿宋"/>
          <w:sz w:val="10"/>
          <w:szCs w:val="10"/>
          <w:lang w:eastAsia="zh-CN"/>
        </w:rPr>
      </w:pPr>
    </w:p>
    <w:p w14:paraId="42FE0A5D">
      <w:pPr>
        <w:keepNext w:val="0"/>
        <w:keepLines w:val="0"/>
        <w:pageBreakBefore w:val="0"/>
        <w:widowControl w:val="0"/>
        <w:kinsoku/>
        <w:wordWrap/>
        <w:overflowPunct/>
        <w:topLinePunct w:val="0"/>
        <w:autoSpaceDE/>
        <w:autoSpaceDN/>
        <w:bidi w:val="0"/>
        <w:adjustRightInd/>
        <w:snapToGrid/>
        <w:spacing w:after="0"/>
        <w:ind w:firstLine="0" w:firstLineChars="0"/>
        <w:jc w:val="center"/>
        <w:textAlignment w:val="auto"/>
        <w:rPr>
          <w:rFonts w:hint="eastAsia" w:cs="仿宋"/>
          <w:b/>
          <w:bCs/>
          <w:sz w:val="36"/>
          <w:szCs w:val="36"/>
          <w:lang w:eastAsia="zh-CN"/>
        </w:rPr>
      </w:pPr>
    </w:p>
    <w:p w14:paraId="5556A9A7">
      <w:pPr>
        <w:keepNext w:val="0"/>
        <w:keepLines w:val="0"/>
        <w:pageBreakBefore w:val="0"/>
        <w:widowControl w:val="0"/>
        <w:kinsoku/>
        <w:wordWrap/>
        <w:overflowPunct/>
        <w:topLinePunct w:val="0"/>
        <w:autoSpaceDE/>
        <w:autoSpaceDN/>
        <w:bidi w:val="0"/>
        <w:adjustRightInd/>
        <w:snapToGrid/>
        <w:spacing w:after="0"/>
        <w:ind w:firstLine="0" w:firstLineChars="0"/>
        <w:jc w:val="center"/>
        <w:textAlignment w:val="auto"/>
        <w:rPr>
          <w:rFonts w:hint="eastAsia" w:cs="仿宋"/>
          <w:b/>
          <w:bCs/>
          <w:sz w:val="36"/>
          <w:szCs w:val="36"/>
          <w:lang w:eastAsia="zh-CN"/>
        </w:rPr>
      </w:pPr>
    </w:p>
    <w:p w14:paraId="0AC4EE67">
      <w:pPr>
        <w:pageBreakBefore w:val="0"/>
        <w:widowControl w:val="0"/>
        <w:kinsoku/>
        <w:wordWrap/>
        <w:overflowPunct/>
        <w:topLinePunct w:val="0"/>
        <w:bidi w:val="0"/>
        <w:snapToGrid/>
        <w:spacing w:after="0"/>
        <w:ind w:firstLine="0" w:firstLineChars="0"/>
        <w:jc w:val="center"/>
        <w:rPr>
          <w:rFonts w:hint="eastAsia" w:cs="仿宋"/>
          <w:b/>
          <w:bCs/>
          <w:sz w:val="36"/>
          <w:szCs w:val="36"/>
          <w:lang w:eastAsia="zh-CN"/>
        </w:rPr>
      </w:pPr>
    </w:p>
    <w:p w14:paraId="3C45C997">
      <w:pPr>
        <w:pageBreakBefore w:val="0"/>
        <w:widowControl w:val="0"/>
        <w:kinsoku/>
        <w:wordWrap/>
        <w:overflowPunct/>
        <w:topLinePunct w:val="0"/>
        <w:bidi w:val="0"/>
        <w:snapToGrid/>
        <w:spacing w:after="0"/>
        <w:ind w:firstLine="0" w:firstLineChars="0"/>
        <w:jc w:val="center"/>
        <w:rPr>
          <w:rFonts w:hint="eastAsia" w:cs="仿宋"/>
          <w:b/>
          <w:bCs/>
          <w:sz w:val="36"/>
          <w:szCs w:val="36"/>
          <w:lang w:eastAsia="zh-CN"/>
        </w:rPr>
      </w:pPr>
    </w:p>
    <w:p w14:paraId="692CAEA1">
      <w:pPr>
        <w:pageBreakBefore w:val="0"/>
        <w:widowControl w:val="0"/>
        <w:kinsoku/>
        <w:wordWrap/>
        <w:overflowPunct/>
        <w:topLinePunct w:val="0"/>
        <w:bidi w:val="0"/>
        <w:snapToGrid/>
        <w:spacing w:after="0"/>
        <w:ind w:firstLine="0" w:firstLineChars="0"/>
        <w:jc w:val="center"/>
        <w:outlineLvl w:val="0"/>
        <w:rPr>
          <w:rFonts w:hint="eastAsia" w:ascii="黑体" w:hAnsi="黑体" w:eastAsia="黑体" w:cs="仿宋"/>
          <w:b/>
          <w:bCs/>
          <w:sz w:val="36"/>
          <w:szCs w:val="36"/>
          <w:lang w:eastAsia="zh-CN"/>
        </w:rPr>
      </w:pPr>
      <w:bookmarkStart w:id="21" w:name="_Toc14421"/>
      <w:bookmarkStart w:id="22" w:name="_Toc21361"/>
      <w:bookmarkStart w:id="23" w:name="_Toc4904"/>
      <w:bookmarkStart w:id="24" w:name="_Toc432"/>
      <w:bookmarkStart w:id="25" w:name="_Toc10551"/>
      <w:bookmarkStart w:id="26" w:name="_Toc28366"/>
      <w:bookmarkStart w:id="27" w:name="_Toc13085"/>
      <w:bookmarkStart w:id="28" w:name="_Toc27695"/>
      <w:bookmarkStart w:id="29" w:name="_Toc11399"/>
      <w:r>
        <w:rPr>
          <w:rFonts w:hint="eastAsia" w:ascii="黑体" w:hAnsi="黑体" w:eastAsia="黑体" w:cs="仿宋"/>
          <w:b/>
          <w:bCs/>
          <w:sz w:val="36"/>
          <w:szCs w:val="36"/>
          <w:lang w:eastAsia="zh-CN"/>
        </w:rPr>
        <w:t>国家林业和草原局华东调查规划院</w:t>
      </w:r>
      <w:bookmarkEnd w:id="20"/>
      <w:bookmarkEnd w:id="21"/>
      <w:bookmarkEnd w:id="22"/>
      <w:bookmarkEnd w:id="23"/>
      <w:bookmarkEnd w:id="24"/>
      <w:bookmarkEnd w:id="25"/>
      <w:bookmarkEnd w:id="26"/>
      <w:bookmarkEnd w:id="27"/>
      <w:bookmarkEnd w:id="28"/>
      <w:bookmarkEnd w:id="29"/>
    </w:p>
    <w:p w14:paraId="000141F0">
      <w:pPr>
        <w:pageBreakBefore w:val="0"/>
        <w:widowControl w:val="0"/>
        <w:kinsoku/>
        <w:wordWrap/>
        <w:overflowPunct/>
        <w:topLinePunct w:val="0"/>
        <w:bidi w:val="0"/>
        <w:snapToGrid/>
        <w:spacing w:after="0"/>
        <w:ind w:firstLine="0" w:firstLineChars="0"/>
        <w:jc w:val="center"/>
        <w:rPr>
          <w:rFonts w:hint="eastAsia" w:cs="仿宋"/>
          <w:lang w:eastAsia="zh-CN"/>
        </w:rPr>
      </w:pPr>
      <w:r>
        <w:rPr>
          <w:rFonts w:hint="eastAsia" w:ascii="黑体" w:hAnsi="黑体" w:eastAsia="黑体" w:cs="仿宋"/>
          <w:b/>
          <w:bCs/>
          <w:spacing w:val="28"/>
          <w:sz w:val="36"/>
          <w:szCs w:val="36"/>
          <w:lang w:eastAsia="zh-CN"/>
        </w:rPr>
        <w:t>二〇二</w:t>
      </w:r>
      <w:r>
        <w:rPr>
          <w:rFonts w:hint="eastAsia" w:ascii="黑体" w:hAnsi="黑体" w:eastAsia="黑体" w:cs="仿宋"/>
          <w:b/>
          <w:bCs/>
          <w:spacing w:val="28"/>
          <w:sz w:val="36"/>
          <w:szCs w:val="36"/>
          <w:lang w:val="en-US" w:eastAsia="zh-CN"/>
        </w:rPr>
        <w:t>四</w:t>
      </w:r>
      <w:r>
        <w:rPr>
          <w:rFonts w:hint="eastAsia" w:ascii="黑体" w:hAnsi="黑体" w:eastAsia="黑体" w:cs="仿宋"/>
          <w:b/>
          <w:bCs/>
          <w:spacing w:val="28"/>
          <w:sz w:val="36"/>
          <w:szCs w:val="36"/>
          <w:lang w:eastAsia="zh-CN"/>
        </w:rPr>
        <w:t>年</w:t>
      </w:r>
      <w:r>
        <w:rPr>
          <w:rFonts w:hint="eastAsia" w:ascii="黑体" w:hAnsi="黑体" w:eastAsia="黑体" w:cs="仿宋"/>
          <w:b/>
          <w:bCs/>
          <w:spacing w:val="28"/>
          <w:sz w:val="36"/>
          <w:szCs w:val="36"/>
          <w:lang w:val="en-US" w:eastAsia="zh-CN"/>
        </w:rPr>
        <w:t>十一</w:t>
      </w:r>
      <w:r>
        <w:rPr>
          <w:rFonts w:hint="eastAsia" w:ascii="黑体" w:hAnsi="黑体" w:eastAsia="黑体" w:cs="仿宋"/>
          <w:b/>
          <w:bCs/>
          <w:sz w:val="36"/>
          <w:szCs w:val="36"/>
          <w:lang w:eastAsia="zh-CN"/>
        </w:rPr>
        <w:t>月</w:t>
      </w:r>
    </w:p>
    <w:p w14:paraId="49847CA8">
      <w:pPr>
        <w:pageBreakBefore w:val="0"/>
        <w:widowControl w:val="0"/>
        <w:kinsoku/>
        <w:wordWrap/>
        <w:overflowPunct/>
        <w:topLinePunct w:val="0"/>
        <w:bidi w:val="0"/>
        <w:snapToGrid/>
        <w:spacing w:after="0"/>
        <w:ind w:firstLine="0" w:firstLineChars="0"/>
        <w:jc w:val="center"/>
        <w:rPr>
          <w:rFonts w:hint="eastAsia" w:ascii="黑体" w:hAnsi="黑体" w:eastAsia="黑体" w:cs="仿宋"/>
          <w:b/>
          <w:bCs/>
          <w:spacing w:val="0"/>
          <w:kern w:val="0"/>
          <w:sz w:val="36"/>
          <w:szCs w:val="36"/>
          <w:fitText w:val="360" w:id="515600865"/>
          <w:lang w:eastAsia="zh-CN"/>
        </w:rPr>
        <w:sectPr>
          <w:footerReference r:id="rId5" w:type="default"/>
          <w:pgSz w:w="11906" w:h="16838"/>
          <w:pgMar w:top="1440" w:right="1800" w:bottom="1213" w:left="180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p>
    <w:p w14:paraId="15214CDE">
      <w:pPr>
        <w:pageBreakBefore w:val="0"/>
        <w:widowControl w:val="0"/>
        <w:kinsoku/>
        <w:wordWrap/>
        <w:overflowPunct/>
        <w:topLinePunct w:val="0"/>
        <w:bidi w:val="0"/>
        <w:rPr>
          <w:rFonts w:hint="eastAsia" w:ascii="黑体" w:hAnsi="黑体" w:eastAsia="黑体" w:cs="宋体"/>
          <w:b/>
          <w:bCs/>
          <w:spacing w:val="0"/>
          <w:w w:val="100"/>
          <w:sz w:val="30"/>
          <w:szCs w:val="30"/>
          <w:lang w:val="en-US" w:eastAsia="zh-CN"/>
        </w:rPr>
      </w:pPr>
      <w:bookmarkStart w:id="30" w:name="_Toc15809"/>
      <w:bookmarkStart w:id="31" w:name="_Toc28846"/>
      <w:bookmarkStart w:id="32" w:name="_Toc10525"/>
      <w:bookmarkStart w:id="33" w:name="_Toc11694"/>
      <w:bookmarkStart w:id="34" w:name="_Toc4969"/>
      <w:bookmarkStart w:id="35" w:name="_Toc14905"/>
      <w:bookmarkStart w:id="36" w:name="_Toc21583"/>
      <w:bookmarkStart w:id="37" w:name="_Toc20904"/>
      <w:bookmarkStart w:id="38" w:name="_Toc22827"/>
      <w:bookmarkStart w:id="39" w:name="_Toc19643"/>
      <w:bookmarkStart w:id="40" w:name="_Toc13918"/>
      <w:bookmarkStart w:id="41" w:name="_Toc26386"/>
      <w:r>
        <w:rPr>
          <w:rFonts w:hint="eastAsia" w:ascii="黑体" w:hAnsi="黑体" w:eastAsia="黑体" w:cs="宋体"/>
          <w:b/>
          <w:bCs/>
          <w:spacing w:val="0"/>
          <w:w w:val="100"/>
          <w:sz w:val="30"/>
          <w:szCs w:val="30"/>
          <w:lang w:val="en-US" w:eastAsia="zh-CN"/>
        </w:rPr>
        <w:t>出院时添加资质证书和出院单。</w:t>
      </w:r>
      <w:r>
        <w:rPr>
          <w:rFonts w:hint="eastAsia" w:ascii="黑体" w:hAnsi="黑体" w:eastAsia="黑体" w:cs="宋体"/>
          <w:b/>
          <w:bCs/>
          <w:spacing w:val="0"/>
          <w:w w:val="100"/>
          <w:sz w:val="30"/>
          <w:szCs w:val="30"/>
          <w:lang w:val="en-US" w:eastAsia="zh-CN"/>
        </w:rPr>
        <w:br w:type="page"/>
      </w:r>
    </w:p>
    <w:p w14:paraId="1F18DB3C">
      <w:pPr>
        <w:pStyle w:val="2"/>
        <w:pageBreakBefore w:val="0"/>
        <w:widowControl w:val="0"/>
        <w:kinsoku/>
        <w:wordWrap/>
        <w:overflowPunct/>
        <w:topLinePunct w:val="0"/>
        <w:bidi w:val="0"/>
        <w:snapToGrid/>
        <w:spacing w:before="0" w:beforeLines="-2147483648" w:after="0" w:afterLines="-2147483648" w:line="360" w:lineRule="auto"/>
        <w:ind w:right="0" w:rightChars="0" w:firstLine="0" w:firstLineChars="0"/>
        <w:jc w:val="center"/>
        <w:rPr>
          <w:rFonts w:hint="eastAsia" w:cs="宋体"/>
          <w:b/>
          <w:bCs/>
          <w:spacing w:val="0"/>
          <w:w w:val="100"/>
          <w:sz w:val="30"/>
          <w:szCs w:val="30"/>
          <w:lang w:val="en-US" w:eastAsia="zh-CN"/>
        </w:rPr>
      </w:pPr>
      <w:r>
        <w:rPr>
          <w:rFonts w:hint="eastAsia" w:ascii="黑体" w:hAnsi="黑体" w:eastAsia="黑体" w:cs="宋体"/>
          <w:b/>
          <w:bCs/>
          <w:spacing w:val="0"/>
          <w:w w:val="100"/>
          <w:sz w:val="30"/>
          <w:szCs w:val="30"/>
          <w:lang w:val="en-US" w:eastAsia="zh-CN"/>
        </w:rPr>
        <w:t>常山县油茶产业扩面</w:t>
      </w:r>
      <w:r>
        <w:rPr>
          <w:rFonts w:hint="eastAsia" w:cs="宋体"/>
          <w:b/>
          <w:bCs/>
          <w:spacing w:val="0"/>
          <w:w w:val="100"/>
          <w:sz w:val="30"/>
          <w:szCs w:val="30"/>
          <w:lang w:val="en-US" w:eastAsia="zh-CN"/>
        </w:rPr>
        <w:t>提质</w:t>
      </w:r>
      <w:r>
        <w:rPr>
          <w:rFonts w:hint="eastAsia" w:ascii="黑体" w:hAnsi="黑体" w:eastAsia="黑体" w:cs="宋体"/>
          <w:b/>
          <w:bCs/>
          <w:spacing w:val="0"/>
          <w:w w:val="100"/>
          <w:sz w:val="30"/>
          <w:szCs w:val="30"/>
          <w:lang w:val="en-US" w:eastAsia="zh-CN"/>
        </w:rPr>
        <w:t>示范建设项目</w:t>
      </w:r>
      <w:r>
        <w:rPr>
          <w:rFonts w:hint="eastAsia" w:cs="宋体"/>
          <w:b/>
          <w:bCs/>
          <w:spacing w:val="0"/>
          <w:w w:val="100"/>
          <w:sz w:val="30"/>
          <w:szCs w:val="30"/>
          <w:lang w:val="en-US" w:eastAsia="zh-CN"/>
        </w:rPr>
        <w:t>实施方案</w:t>
      </w:r>
    </w:p>
    <w:p w14:paraId="07232F35">
      <w:pPr>
        <w:pStyle w:val="2"/>
        <w:pageBreakBefore w:val="0"/>
        <w:widowControl w:val="0"/>
        <w:kinsoku/>
        <w:wordWrap/>
        <w:overflowPunct/>
        <w:topLinePunct w:val="0"/>
        <w:bidi w:val="0"/>
        <w:snapToGrid/>
        <w:spacing w:before="0" w:beforeLines="-2147483648" w:after="0" w:afterLines="-2147483648" w:line="360" w:lineRule="auto"/>
        <w:ind w:right="0" w:rightChars="0" w:firstLine="0" w:firstLineChars="0"/>
        <w:jc w:val="center"/>
        <w:rPr>
          <w:rFonts w:hint="default" w:ascii="黑体" w:hAnsi="黑体" w:eastAsia="黑体" w:cs="宋体"/>
          <w:b/>
          <w:bCs/>
          <w:spacing w:val="0"/>
          <w:w w:val="100"/>
          <w:sz w:val="30"/>
          <w:szCs w:val="30"/>
          <w:lang w:val="en-US" w:eastAsia="zh-CN"/>
        </w:rPr>
      </w:pPr>
      <w:r>
        <w:rPr>
          <w:rFonts w:hint="eastAsia" w:ascii="黑体" w:hAnsi="黑体" w:eastAsia="黑体" w:cs="宋体"/>
          <w:b/>
          <w:bCs/>
          <w:spacing w:val="0"/>
          <w:w w:val="100"/>
          <w:sz w:val="30"/>
          <w:szCs w:val="30"/>
          <w:lang w:val="en-US" w:eastAsia="zh-CN"/>
        </w:rPr>
        <w:t>（</w:t>
      </w:r>
      <w:r>
        <w:rPr>
          <w:rFonts w:hint="eastAsia" w:cs="宋体"/>
          <w:b/>
          <w:bCs/>
          <w:spacing w:val="0"/>
          <w:w w:val="100"/>
          <w:sz w:val="30"/>
          <w:szCs w:val="30"/>
          <w:lang w:val="en-US" w:eastAsia="zh-CN"/>
        </w:rPr>
        <w:t>第三批</w:t>
      </w:r>
      <w:r>
        <w:rPr>
          <w:rFonts w:hint="eastAsia" w:ascii="黑体" w:hAnsi="黑体" w:eastAsia="黑体" w:cs="宋体"/>
          <w:b/>
          <w:bCs/>
          <w:spacing w:val="0"/>
          <w:w w:val="100"/>
          <w:sz w:val="30"/>
          <w:szCs w:val="30"/>
          <w:lang w:val="en-US" w:eastAsia="zh-CN"/>
        </w:rPr>
        <w:t>）</w:t>
      </w:r>
      <w:bookmarkEnd w:id="30"/>
      <w:bookmarkEnd w:id="31"/>
      <w:bookmarkEnd w:id="32"/>
      <w:bookmarkEnd w:id="33"/>
      <w:bookmarkEnd w:id="34"/>
      <w:bookmarkEnd w:id="35"/>
      <w:bookmarkEnd w:id="36"/>
      <w:bookmarkEnd w:id="37"/>
      <w:bookmarkEnd w:id="38"/>
      <w:bookmarkEnd w:id="39"/>
      <w:bookmarkEnd w:id="40"/>
      <w:bookmarkEnd w:id="41"/>
      <w:r>
        <w:rPr>
          <w:rFonts w:hint="eastAsia" w:cs="宋体"/>
          <w:b/>
          <w:bCs/>
          <w:spacing w:val="0"/>
          <w:w w:val="100"/>
          <w:sz w:val="30"/>
          <w:szCs w:val="30"/>
          <w:lang w:val="en-US" w:eastAsia="zh-CN"/>
        </w:rPr>
        <w:t>白石镇片区</w:t>
      </w:r>
    </w:p>
    <w:p w14:paraId="6FA2AC23">
      <w:pPr>
        <w:pStyle w:val="2"/>
        <w:pageBreakBefore w:val="0"/>
        <w:widowControl w:val="0"/>
        <w:kinsoku/>
        <w:wordWrap/>
        <w:overflowPunct/>
        <w:topLinePunct w:val="0"/>
        <w:bidi w:val="0"/>
        <w:snapToGrid/>
        <w:spacing w:before="0" w:beforeLines="-2147483648" w:after="0" w:afterLines="-2147483648" w:line="360" w:lineRule="auto"/>
        <w:ind w:right="0" w:rightChars="0" w:firstLine="0" w:firstLineChars="0"/>
        <w:jc w:val="center"/>
        <w:rPr>
          <w:rFonts w:hint="default" w:ascii="黑体" w:hAnsi="黑体" w:eastAsia="黑体" w:cs="宋体"/>
          <w:bCs/>
          <w:sz w:val="30"/>
          <w:szCs w:val="30"/>
          <w:lang w:val="en-US" w:eastAsia="zh-CN"/>
        </w:rPr>
      </w:pPr>
      <w:bookmarkStart w:id="42" w:name="_Toc2997"/>
      <w:bookmarkStart w:id="43" w:name="_Toc5928"/>
      <w:bookmarkStart w:id="44" w:name="_Toc17145"/>
      <w:bookmarkStart w:id="45" w:name="_Toc31702"/>
      <w:bookmarkStart w:id="46" w:name="_Toc4603"/>
      <w:bookmarkStart w:id="47" w:name="_Toc29182"/>
      <w:bookmarkStart w:id="48" w:name="_Toc31072"/>
      <w:bookmarkStart w:id="49" w:name="_Toc8706"/>
      <w:bookmarkStart w:id="50" w:name="_Toc31914"/>
      <w:bookmarkStart w:id="51" w:name="_Toc10828"/>
      <w:bookmarkStart w:id="52" w:name="_Toc17629"/>
      <w:bookmarkStart w:id="53" w:name="_Toc1045"/>
      <w:r>
        <w:rPr>
          <w:rFonts w:hint="eastAsia" w:ascii="黑体" w:hAnsi="黑体" w:eastAsia="黑体" w:cs="宋体"/>
          <w:bCs/>
          <w:sz w:val="30"/>
          <w:szCs w:val="30"/>
          <w:lang w:val="en-US" w:eastAsia="zh-CN"/>
        </w:rPr>
        <w:t>参</w:t>
      </w:r>
      <w:r>
        <w:rPr>
          <w:rFonts w:hint="eastAsia" w:cs="宋体"/>
          <w:bCs/>
          <w:sz w:val="30"/>
          <w:szCs w:val="30"/>
          <w:lang w:val="en-US" w:eastAsia="zh-CN"/>
        </w:rPr>
        <w:t xml:space="preserve"> </w:t>
      </w:r>
      <w:r>
        <w:rPr>
          <w:rFonts w:hint="eastAsia" w:ascii="黑体" w:hAnsi="黑体" w:eastAsia="黑体" w:cs="宋体"/>
          <w:bCs/>
          <w:sz w:val="30"/>
          <w:szCs w:val="30"/>
          <w:lang w:val="en-US" w:eastAsia="zh-CN"/>
        </w:rPr>
        <w:t>加</w:t>
      </w:r>
      <w:r>
        <w:rPr>
          <w:rFonts w:hint="eastAsia" w:cs="宋体"/>
          <w:bCs/>
          <w:sz w:val="30"/>
          <w:szCs w:val="30"/>
          <w:lang w:val="en-US" w:eastAsia="zh-CN"/>
        </w:rPr>
        <w:t xml:space="preserve"> </w:t>
      </w:r>
      <w:r>
        <w:rPr>
          <w:rFonts w:hint="eastAsia" w:ascii="黑体" w:hAnsi="黑体" w:eastAsia="黑体" w:cs="宋体"/>
          <w:bCs/>
          <w:sz w:val="30"/>
          <w:szCs w:val="30"/>
          <w:lang w:val="en-US" w:eastAsia="zh-CN"/>
        </w:rPr>
        <w:t>人</w:t>
      </w:r>
      <w:r>
        <w:rPr>
          <w:rFonts w:hint="eastAsia" w:cs="宋体"/>
          <w:bCs/>
          <w:sz w:val="30"/>
          <w:szCs w:val="30"/>
          <w:lang w:val="en-US" w:eastAsia="zh-CN"/>
        </w:rPr>
        <w:t xml:space="preserve"> </w:t>
      </w:r>
      <w:r>
        <w:rPr>
          <w:rFonts w:hint="eastAsia" w:ascii="黑体" w:hAnsi="黑体" w:eastAsia="黑体" w:cs="宋体"/>
          <w:bCs/>
          <w:sz w:val="30"/>
          <w:szCs w:val="30"/>
          <w:lang w:val="en-US" w:eastAsia="zh-CN"/>
        </w:rPr>
        <w:t>员</w:t>
      </w:r>
      <w:bookmarkEnd w:id="42"/>
      <w:bookmarkEnd w:id="43"/>
      <w:bookmarkEnd w:id="44"/>
      <w:bookmarkEnd w:id="45"/>
      <w:bookmarkEnd w:id="46"/>
      <w:bookmarkEnd w:id="47"/>
      <w:bookmarkEnd w:id="48"/>
      <w:bookmarkEnd w:id="49"/>
      <w:bookmarkEnd w:id="50"/>
      <w:bookmarkEnd w:id="51"/>
      <w:bookmarkEnd w:id="52"/>
      <w:bookmarkEnd w:id="53"/>
    </w:p>
    <w:p w14:paraId="1D7A5F09">
      <w:pPr>
        <w:keepNext w:val="0"/>
        <w:keepLines w:val="0"/>
        <w:pageBreakBefore w:val="0"/>
        <w:widowControl w:val="0"/>
        <w:kinsoku/>
        <w:wordWrap/>
        <w:overflowPunct/>
        <w:topLinePunct w:val="0"/>
        <w:autoSpaceDE/>
        <w:autoSpaceDN/>
        <w:bidi w:val="0"/>
        <w:snapToGrid/>
        <w:spacing w:after="0" w:line="660" w:lineRule="exact"/>
        <w:ind w:firstLine="0" w:firstLineChars="0"/>
        <w:textAlignment w:val="auto"/>
        <w:outlineLvl w:val="0"/>
        <w:rPr>
          <w:rFonts w:hint="eastAsia" w:ascii="Times New Roman" w:hAnsi="Times New Roman" w:eastAsia="仿宋_GB2312" w:cs="Times New Roman"/>
          <w:sz w:val="30"/>
          <w:szCs w:val="30"/>
        </w:rPr>
      </w:pPr>
      <w:bookmarkStart w:id="54" w:name="_Toc21258"/>
      <w:bookmarkStart w:id="55" w:name="_Toc20520"/>
      <w:bookmarkStart w:id="56" w:name="_Toc29444"/>
      <w:bookmarkStart w:id="57" w:name="_Toc388"/>
      <w:bookmarkStart w:id="58" w:name="_Toc17263"/>
      <w:bookmarkStart w:id="59" w:name="_Toc29803"/>
      <w:bookmarkStart w:id="60" w:name="_Toc10770"/>
      <w:bookmarkStart w:id="61" w:name="_Toc16546"/>
      <w:bookmarkStart w:id="62" w:name="_Toc6492"/>
      <w:bookmarkStart w:id="63" w:name="_Toc926"/>
      <w:bookmarkStart w:id="64" w:name="_Toc2887"/>
      <w:bookmarkStart w:id="65" w:name="_Toc10491"/>
      <w:r>
        <w:rPr>
          <w:rFonts w:ascii="Times New Roman" w:hAnsi="Times New Roman" w:eastAsia="仿宋_GB2312" w:cs="Times New Roman"/>
          <w:b/>
          <w:sz w:val="30"/>
          <w:szCs w:val="30"/>
        </w:rPr>
        <w:t>项</w:t>
      </w:r>
      <w:r>
        <w:rPr>
          <w:rFonts w:hint="eastAsia" w:ascii="Times New Roman" w:hAnsi="Times New Roman" w:eastAsia="仿宋_GB2312" w:cs="Times New Roman"/>
          <w:b/>
          <w:sz w:val="30"/>
          <w:szCs w:val="30"/>
        </w:rPr>
        <w:t xml:space="preserve"> </w:t>
      </w:r>
      <w:r>
        <w:rPr>
          <w:rFonts w:ascii="Times New Roman" w:hAnsi="Times New Roman" w:eastAsia="仿宋_GB2312" w:cs="Times New Roman"/>
          <w:b/>
          <w:sz w:val="30"/>
          <w:szCs w:val="30"/>
        </w:rPr>
        <w:t>目</w:t>
      </w:r>
      <w:r>
        <w:rPr>
          <w:rFonts w:hint="eastAsia" w:ascii="Times New Roman" w:hAnsi="Times New Roman" w:eastAsia="仿宋_GB2312" w:cs="Times New Roman"/>
          <w:b/>
          <w:sz w:val="30"/>
          <w:szCs w:val="30"/>
        </w:rPr>
        <w:t xml:space="preserve"> </w:t>
      </w:r>
      <w:r>
        <w:rPr>
          <w:rFonts w:ascii="Times New Roman" w:hAnsi="Times New Roman" w:eastAsia="仿宋_GB2312" w:cs="Times New Roman"/>
          <w:b/>
          <w:sz w:val="30"/>
          <w:szCs w:val="30"/>
        </w:rPr>
        <w:t>负</w:t>
      </w:r>
      <w:r>
        <w:rPr>
          <w:rFonts w:hint="eastAsia" w:ascii="Times New Roman" w:hAnsi="Times New Roman" w:eastAsia="仿宋_GB2312" w:cs="Times New Roman"/>
          <w:b/>
          <w:sz w:val="30"/>
          <w:szCs w:val="30"/>
        </w:rPr>
        <w:t xml:space="preserve"> </w:t>
      </w:r>
      <w:r>
        <w:rPr>
          <w:rFonts w:ascii="Times New Roman" w:hAnsi="Times New Roman" w:eastAsia="仿宋_GB2312" w:cs="Times New Roman"/>
          <w:b/>
          <w:sz w:val="30"/>
          <w:szCs w:val="30"/>
        </w:rPr>
        <w:t>责：</w:t>
      </w:r>
      <w:r>
        <w:rPr>
          <w:rFonts w:hint="eastAsia" w:ascii="Times New Roman" w:hAnsi="Times New Roman" w:eastAsia="仿宋_GB2312" w:cs="Times New Roman"/>
          <w:sz w:val="30"/>
          <w:szCs w:val="30"/>
          <w:lang w:val="en-US" w:eastAsia="zh-CN"/>
        </w:rPr>
        <w:t>卢  佶</w:t>
      </w:r>
      <w:r>
        <w:rPr>
          <w:rFonts w:ascii="Times New Roman" w:hAnsi="Times New Roman" w:eastAsia="仿宋_GB2312" w:cs="Times New Roman"/>
          <w:sz w:val="30"/>
          <w:szCs w:val="30"/>
        </w:rPr>
        <w:t>（</w:t>
      </w:r>
      <w:r>
        <w:rPr>
          <w:rFonts w:hint="eastAsia" w:ascii="Times New Roman" w:hAnsi="Times New Roman" w:eastAsia="仿宋_GB2312" w:cs="Times New Roman"/>
          <w:sz w:val="30"/>
          <w:szCs w:val="30"/>
          <w:lang w:val="en-US" w:eastAsia="zh-CN"/>
        </w:rPr>
        <w:t>处长、高级工程师</w:t>
      </w:r>
      <w:r>
        <w:rPr>
          <w:rFonts w:hint="eastAsia" w:ascii="Times New Roman" w:hAnsi="Times New Roman" w:eastAsia="仿宋_GB2312" w:cs="Times New Roman"/>
          <w:sz w:val="30"/>
          <w:szCs w:val="30"/>
        </w:rPr>
        <w:t>）</w:t>
      </w:r>
      <w:bookmarkEnd w:id="54"/>
      <w:bookmarkEnd w:id="55"/>
      <w:bookmarkEnd w:id="56"/>
      <w:bookmarkEnd w:id="57"/>
      <w:bookmarkEnd w:id="58"/>
      <w:bookmarkEnd w:id="59"/>
      <w:bookmarkEnd w:id="60"/>
      <w:bookmarkEnd w:id="61"/>
      <w:bookmarkEnd w:id="62"/>
      <w:bookmarkEnd w:id="63"/>
      <w:bookmarkEnd w:id="64"/>
      <w:bookmarkEnd w:id="65"/>
      <w:bookmarkStart w:id="66" w:name="_Toc18051"/>
      <w:bookmarkStart w:id="67" w:name="_Toc32733"/>
    </w:p>
    <w:p w14:paraId="49459FE7">
      <w:pPr>
        <w:keepNext w:val="0"/>
        <w:keepLines w:val="0"/>
        <w:pageBreakBefore w:val="0"/>
        <w:widowControl w:val="0"/>
        <w:kinsoku/>
        <w:wordWrap/>
        <w:overflowPunct/>
        <w:topLinePunct w:val="0"/>
        <w:autoSpaceDE/>
        <w:autoSpaceDN/>
        <w:bidi w:val="0"/>
        <w:snapToGrid/>
        <w:spacing w:after="0" w:line="660" w:lineRule="exact"/>
        <w:ind w:firstLine="0" w:firstLineChars="0"/>
        <w:textAlignment w:val="auto"/>
        <w:outlineLvl w:val="0"/>
        <w:rPr>
          <w:rFonts w:ascii="Times New Roman" w:hAnsi="Times New Roman" w:eastAsia="仿宋_GB2312" w:cs="Times New Roman"/>
          <w:sz w:val="30"/>
          <w:szCs w:val="30"/>
        </w:rPr>
      </w:pPr>
      <w:bookmarkStart w:id="68" w:name="_Toc21415"/>
      <w:bookmarkStart w:id="69" w:name="_Toc12577"/>
      <w:bookmarkStart w:id="70" w:name="_Toc12773"/>
      <w:bookmarkStart w:id="71" w:name="_Toc377"/>
      <w:bookmarkStart w:id="72" w:name="_Toc9160"/>
      <w:bookmarkStart w:id="73" w:name="_Toc30352"/>
      <w:bookmarkStart w:id="74" w:name="_Toc22798"/>
      <w:bookmarkStart w:id="75" w:name="_Toc14771"/>
      <w:bookmarkStart w:id="76" w:name="_Toc23900"/>
      <w:bookmarkStart w:id="77" w:name="_Toc22930"/>
      <w:r>
        <w:rPr>
          <w:rFonts w:hint="eastAsia" w:ascii="Times New Roman" w:hAnsi="Times New Roman" w:eastAsia="仿宋_GB2312" w:cs="Times New Roman"/>
          <w:b/>
          <w:sz w:val="30"/>
          <w:szCs w:val="30"/>
        </w:rPr>
        <w:t xml:space="preserve">技 术 </w:t>
      </w:r>
      <w:r>
        <w:rPr>
          <w:rFonts w:ascii="Times New Roman" w:hAnsi="Times New Roman" w:eastAsia="仿宋_GB2312" w:cs="Times New Roman"/>
          <w:b/>
          <w:sz w:val="30"/>
          <w:szCs w:val="30"/>
        </w:rPr>
        <w:t>负</w:t>
      </w:r>
      <w:r>
        <w:rPr>
          <w:rFonts w:hint="eastAsia" w:ascii="Times New Roman" w:hAnsi="Times New Roman" w:eastAsia="仿宋_GB2312" w:cs="Times New Roman"/>
          <w:b/>
          <w:sz w:val="30"/>
          <w:szCs w:val="30"/>
        </w:rPr>
        <w:t xml:space="preserve"> </w:t>
      </w:r>
      <w:r>
        <w:rPr>
          <w:rFonts w:ascii="Times New Roman" w:hAnsi="Times New Roman" w:eastAsia="仿宋_GB2312" w:cs="Times New Roman"/>
          <w:b/>
          <w:sz w:val="30"/>
          <w:szCs w:val="30"/>
        </w:rPr>
        <w:t>责：</w:t>
      </w:r>
      <w:bookmarkEnd w:id="66"/>
      <w:bookmarkEnd w:id="67"/>
      <w:r>
        <w:rPr>
          <w:rFonts w:hint="eastAsia" w:ascii="Times New Roman" w:hAnsi="Times New Roman" w:eastAsia="仿宋_GB2312" w:cs="Times New Roman"/>
          <w:sz w:val="30"/>
          <w:szCs w:val="30"/>
          <w:lang w:val="en-US" w:eastAsia="zh-CN"/>
        </w:rPr>
        <w:t>毛卫星</w:t>
      </w:r>
      <w:r>
        <w:rPr>
          <w:rFonts w:ascii="Times New Roman" w:hAnsi="Times New Roman" w:eastAsia="仿宋_GB2312" w:cs="Times New Roman"/>
          <w:sz w:val="30"/>
          <w:szCs w:val="30"/>
        </w:rPr>
        <w:t>（</w:t>
      </w:r>
      <w:r>
        <w:rPr>
          <w:rFonts w:hint="eastAsia" w:ascii="Times New Roman" w:hAnsi="Times New Roman" w:eastAsia="仿宋_GB2312" w:cs="Times New Roman"/>
          <w:sz w:val="30"/>
          <w:szCs w:val="30"/>
          <w:lang w:val="en-US" w:eastAsia="zh-CN"/>
        </w:rPr>
        <w:t>工程师</w:t>
      </w:r>
      <w:r>
        <w:rPr>
          <w:rFonts w:ascii="Times New Roman" w:hAnsi="Times New Roman" w:eastAsia="仿宋_GB2312" w:cs="Times New Roman"/>
          <w:sz w:val="30"/>
          <w:szCs w:val="30"/>
        </w:rPr>
        <w:t>）</w:t>
      </w:r>
      <w:bookmarkEnd w:id="68"/>
      <w:bookmarkEnd w:id="69"/>
      <w:bookmarkEnd w:id="70"/>
      <w:bookmarkEnd w:id="71"/>
      <w:bookmarkEnd w:id="72"/>
      <w:bookmarkEnd w:id="73"/>
      <w:bookmarkEnd w:id="74"/>
      <w:bookmarkEnd w:id="75"/>
      <w:bookmarkEnd w:id="76"/>
      <w:bookmarkEnd w:id="77"/>
    </w:p>
    <w:p w14:paraId="2A4660E2">
      <w:pPr>
        <w:keepNext w:val="0"/>
        <w:keepLines w:val="0"/>
        <w:pageBreakBefore w:val="0"/>
        <w:widowControl w:val="0"/>
        <w:kinsoku/>
        <w:wordWrap/>
        <w:overflowPunct/>
        <w:topLinePunct w:val="0"/>
        <w:autoSpaceDE/>
        <w:autoSpaceDN/>
        <w:bidi w:val="0"/>
        <w:snapToGrid/>
        <w:spacing w:after="0" w:line="660" w:lineRule="exact"/>
        <w:ind w:firstLine="0" w:firstLineChars="0"/>
        <w:textAlignment w:val="auto"/>
        <w:rPr>
          <w:rFonts w:eastAsia="仿宋_GB2312"/>
          <w:b/>
          <w:sz w:val="30"/>
          <w:szCs w:val="30"/>
        </w:rPr>
      </w:pPr>
      <w:r>
        <w:rPr>
          <w:rFonts w:ascii="Times New Roman" w:hAnsi="Times New Roman" w:eastAsia="仿宋_GB2312" w:cs="Times New Roman"/>
          <w:b/>
          <w:sz w:val="30"/>
          <w:szCs w:val="30"/>
        </w:rPr>
        <w:t>参 加 人 员：</w:t>
      </w:r>
    </w:p>
    <w:p w14:paraId="0BFE2AA1">
      <w:pPr>
        <w:keepNext w:val="0"/>
        <w:keepLines w:val="0"/>
        <w:pageBreakBefore w:val="0"/>
        <w:widowControl w:val="0"/>
        <w:kinsoku/>
        <w:wordWrap/>
        <w:overflowPunct/>
        <w:topLinePunct w:val="0"/>
        <w:autoSpaceDE/>
        <w:autoSpaceDN/>
        <w:bidi w:val="0"/>
        <w:snapToGrid/>
        <w:spacing w:after="0" w:line="660" w:lineRule="exact"/>
        <w:jc w:val="left"/>
        <w:textAlignment w:val="auto"/>
        <w:outlineLvl w:val="0"/>
        <w:rPr>
          <w:rFonts w:hint="eastAsia" w:ascii="Times New Roman" w:hAnsi="Times New Roman" w:eastAsia="仿宋_GB2312" w:cs="Times New Roman"/>
          <w:b/>
          <w:bCs/>
          <w:kern w:val="0"/>
          <w:sz w:val="30"/>
          <w:szCs w:val="30"/>
          <w:lang w:eastAsia="zh-CN"/>
        </w:rPr>
      </w:pPr>
      <w:bookmarkStart w:id="78" w:name="_Toc7648"/>
      <w:bookmarkStart w:id="79" w:name="_Toc8699"/>
      <w:bookmarkStart w:id="80" w:name="_Toc18093"/>
      <w:bookmarkStart w:id="81" w:name="_Toc5471"/>
      <w:bookmarkStart w:id="82" w:name="_Toc19800"/>
      <w:bookmarkStart w:id="83" w:name="_Toc26099"/>
      <w:bookmarkStart w:id="84" w:name="_Toc25481"/>
      <w:bookmarkStart w:id="85" w:name="_Toc5061"/>
      <w:bookmarkStart w:id="86" w:name="_Toc8944"/>
      <w:bookmarkStart w:id="87" w:name="_Toc18228"/>
      <w:bookmarkStart w:id="88" w:name="_Toc25701"/>
      <w:bookmarkStart w:id="89" w:name="_Toc24451"/>
      <w:r>
        <w:rPr>
          <w:rFonts w:hint="eastAsia" w:ascii="Times New Roman" w:hAnsi="Times New Roman" w:eastAsia="仿宋_GB2312" w:cs="Times New Roman"/>
          <w:b/>
          <w:bCs/>
          <w:kern w:val="0"/>
          <w:sz w:val="30"/>
          <w:szCs w:val="30"/>
          <w:lang w:eastAsia="zh-CN"/>
        </w:rPr>
        <w:t>国家林业和草原局华东调查规划院</w:t>
      </w:r>
      <w:bookmarkEnd w:id="78"/>
      <w:bookmarkEnd w:id="79"/>
      <w:bookmarkEnd w:id="80"/>
      <w:bookmarkEnd w:id="81"/>
      <w:bookmarkEnd w:id="82"/>
      <w:bookmarkEnd w:id="83"/>
      <w:bookmarkEnd w:id="84"/>
      <w:bookmarkEnd w:id="85"/>
      <w:bookmarkEnd w:id="86"/>
      <w:bookmarkEnd w:id="87"/>
      <w:bookmarkEnd w:id="88"/>
      <w:bookmarkEnd w:id="89"/>
    </w:p>
    <w:p w14:paraId="52D0CC60">
      <w:pPr>
        <w:keepNext w:val="0"/>
        <w:keepLines w:val="0"/>
        <w:pageBreakBefore w:val="0"/>
        <w:widowControl w:val="0"/>
        <w:kinsoku/>
        <w:wordWrap/>
        <w:overflowPunct/>
        <w:topLinePunct w:val="0"/>
        <w:autoSpaceDE/>
        <w:autoSpaceDN/>
        <w:bidi w:val="0"/>
        <w:adjustRightInd w:val="0"/>
        <w:snapToGrid/>
        <w:spacing w:after="0" w:line="660" w:lineRule="exact"/>
        <w:ind w:firstLine="900" w:firstLineChars="300"/>
        <w:jc w:val="left"/>
        <w:textAlignment w:val="auto"/>
        <w:rPr>
          <w:rFonts w:hint="eastAsia" w:ascii="Times New Roman" w:hAnsi="Times New Roman" w:eastAsia="仿宋_GB2312" w:cs="Times New Roman"/>
          <w:sz w:val="30"/>
          <w:szCs w:val="30"/>
          <w:lang w:val="en-US" w:eastAsia="zh-CN"/>
        </w:rPr>
      </w:pPr>
      <w:r>
        <w:rPr>
          <w:rFonts w:hint="eastAsia" w:ascii="Times New Roman" w:hAnsi="Times New Roman" w:eastAsia="仿宋_GB2312" w:cs="Times New Roman"/>
          <w:sz w:val="30"/>
          <w:szCs w:val="30"/>
          <w:lang w:val="en-US" w:eastAsia="zh-CN"/>
        </w:rPr>
        <w:t>卢  佶  聂祥永  毛卫星  郑根清  赵  彤  陈蓉蓉</w:t>
      </w:r>
    </w:p>
    <w:p w14:paraId="35F42684">
      <w:pPr>
        <w:keepNext w:val="0"/>
        <w:keepLines w:val="0"/>
        <w:pageBreakBefore w:val="0"/>
        <w:widowControl w:val="0"/>
        <w:kinsoku/>
        <w:wordWrap/>
        <w:overflowPunct/>
        <w:topLinePunct w:val="0"/>
        <w:autoSpaceDE/>
        <w:autoSpaceDN/>
        <w:bidi w:val="0"/>
        <w:adjustRightInd w:val="0"/>
        <w:snapToGrid/>
        <w:spacing w:after="0" w:line="660" w:lineRule="exact"/>
        <w:ind w:firstLine="900" w:firstLineChars="300"/>
        <w:jc w:val="left"/>
        <w:textAlignment w:val="auto"/>
        <w:rPr>
          <w:rFonts w:hint="eastAsia" w:ascii="Times New Roman" w:hAnsi="Times New Roman" w:eastAsia="仿宋_GB2312" w:cs="Times New Roman"/>
          <w:sz w:val="30"/>
          <w:szCs w:val="30"/>
          <w:lang w:val="en-US" w:eastAsia="zh-CN"/>
        </w:rPr>
      </w:pPr>
      <w:r>
        <w:rPr>
          <w:rFonts w:hint="eastAsia" w:ascii="Times New Roman" w:hAnsi="Times New Roman" w:eastAsia="仿宋_GB2312" w:cs="Times New Roman"/>
          <w:sz w:val="30"/>
          <w:szCs w:val="30"/>
          <w:lang w:val="en-US" w:eastAsia="zh-CN"/>
        </w:rPr>
        <w:t>谢颖盈  罗  标  唐孝甲  王梦琛  郭红艳  陈  程</w:t>
      </w:r>
    </w:p>
    <w:p w14:paraId="154B37DB">
      <w:pPr>
        <w:keepNext w:val="0"/>
        <w:keepLines w:val="0"/>
        <w:pageBreakBefore w:val="0"/>
        <w:widowControl w:val="0"/>
        <w:kinsoku/>
        <w:wordWrap/>
        <w:overflowPunct/>
        <w:topLinePunct w:val="0"/>
        <w:autoSpaceDE/>
        <w:autoSpaceDN/>
        <w:bidi w:val="0"/>
        <w:adjustRightInd w:val="0"/>
        <w:snapToGrid/>
        <w:spacing w:after="0" w:line="660" w:lineRule="exact"/>
        <w:ind w:firstLine="900" w:firstLineChars="300"/>
        <w:jc w:val="left"/>
        <w:textAlignment w:val="auto"/>
        <w:rPr>
          <w:rFonts w:hint="default" w:ascii="Times New Roman" w:hAnsi="Times New Roman" w:eastAsia="仿宋_GB2312" w:cs="Times New Roman"/>
          <w:sz w:val="30"/>
          <w:szCs w:val="30"/>
          <w:lang w:val="en-US" w:eastAsia="zh-CN"/>
        </w:rPr>
      </w:pPr>
      <w:r>
        <w:rPr>
          <w:rFonts w:hint="eastAsia" w:ascii="Times New Roman" w:hAnsi="Times New Roman" w:eastAsia="仿宋_GB2312" w:cs="Times New Roman"/>
          <w:sz w:val="30"/>
          <w:szCs w:val="30"/>
          <w:lang w:val="en-US" w:eastAsia="zh-CN"/>
        </w:rPr>
        <w:t>魏逸衡  张银</w:t>
      </w:r>
    </w:p>
    <w:p w14:paraId="592FDA7B">
      <w:pPr>
        <w:keepNext w:val="0"/>
        <w:keepLines w:val="0"/>
        <w:pageBreakBefore w:val="0"/>
        <w:widowControl w:val="0"/>
        <w:kinsoku/>
        <w:wordWrap/>
        <w:overflowPunct/>
        <w:topLinePunct w:val="0"/>
        <w:autoSpaceDE/>
        <w:autoSpaceDN/>
        <w:bidi w:val="0"/>
        <w:snapToGrid/>
        <w:spacing w:after="0" w:line="660" w:lineRule="exact"/>
        <w:jc w:val="left"/>
        <w:textAlignment w:val="auto"/>
        <w:rPr>
          <w:rFonts w:hint="eastAsia" w:ascii="Times New Roman" w:hAnsi="Times New Roman" w:eastAsia="仿宋_GB2312" w:cs="Times New Roman"/>
          <w:b/>
          <w:bCs/>
          <w:kern w:val="0"/>
          <w:sz w:val="30"/>
          <w:szCs w:val="30"/>
          <w:lang w:eastAsia="zh-CN"/>
        </w:rPr>
      </w:pPr>
      <w:r>
        <w:rPr>
          <w:rFonts w:hint="eastAsia" w:ascii="Times New Roman" w:hAnsi="Times New Roman" w:eastAsia="仿宋_GB2312" w:cs="Times New Roman"/>
          <w:b/>
          <w:bCs/>
          <w:kern w:val="0"/>
          <w:sz w:val="30"/>
          <w:szCs w:val="30"/>
          <w:lang w:val="en-US" w:eastAsia="zh-CN"/>
        </w:rPr>
        <w:t>常山县林业水利局</w:t>
      </w:r>
    </w:p>
    <w:p w14:paraId="731C1257">
      <w:pPr>
        <w:keepNext w:val="0"/>
        <w:keepLines w:val="0"/>
        <w:pageBreakBefore w:val="0"/>
        <w:widowControl w:val="0"/>
        <w:kinsoku/>
        <w:wordWrap/>
        <w:overflowPunct/>
        <w:topLinePunct w:val="0"/>
        <w:autoSpaceDE/>
        <w:autoSpaceDN/>
        <w:bidi w:val="0"/>
        <w:adjustRightInd w:val="0"/>
        <w:snapToGrid/>
        <w:spacing w:after="0" w:line="660" w:lineRule="exact"/>
        <w:ind w:firstLine="900" w:firstLineChars="300"/>
        <w:jc w:val="left"/>
        <w:textAlignment w:val="auto"/>
        <w:rPr>
          <w:rFonts w:hint="eastAsia" w:ascii="Times New Roman" w:hAnsi="Times New Roman" w:eastAsia="仿宋_GB2312" w:cs="Times New Roman"/>
          <w:sz w:val="30"/>
          <w:szCs w:val="30"/>
          <w:lang w:val="en-US" w:eastAsia="zh-CN"/>
        </w:rPr>
      </w:pPr>
      <w:r>
        <w:rPr>
          <w:rFonts w:hint="eastAsia" w:ascii="Times New Roman" w:hAnsi="Times New Roman" w:eastAsia="仿宋_GB2312" w:cs="Times New Roman"/>
          <w:sz w:val="30"/>
          <w:szCs w:val="30"/>
          <w:lang w:val="en-US" w:eastAsia="zh-CN"/>
        </w:rPr>
        <w:t>王昆喜  黄广远  杨  学  陈新建  俞春莲  王欣如</w:t>
      </w:r>
    </w:p>
    <w:p w14:paraId="39976034">
      <w:pPr>
        <w:keepNext w:val="0"/>
        <w:keepLines w:val="0"/>
        <w:pageBreakBefore w:val="0"/>
        <w:widowControl w:val="0"/>
        <w:kinsoku/>
        <w:wordWrap/>
        <w:overflowPunct/>
        <w:topLinePunct w:val="0"/>
        <w:autoSpaceDE/>
        <w:autoSpaceDN/>
        <w:bidi w:val="0"/>
        <w:adjustRightInd w:val="0"/>
        <w:snapToGrid/>
        <w:spacing w:after="0" w:line="660" w:lineRule="exact"/>
        <w:ind w:firstLine="900" w:firstLineChars="300"/>
        <w:jc w:val="left"/>
        <w:textAlignment w:val="auto"/>
        <w:rPr>
          <w:rFonts w:hint="eastAsia" w:ascii="Times New Roman" w:hAnsi="Times New Roman" w:eastAsia="仿宋_GB2312" w:cs="Times New Roman"/>
          <w:sz w:val="30"/>
          <w:szCs w:val="30"/>
          <w:lang w:val="en-US" w:eastAsia="zh-CN"/>
        </w:rPr>
      </w:pPr>
      <w:r>
        <w:rPr>
          <w:rFonts w:hint="eastAsia" w:ascii="Times New Roman" w:hAnsi="Times New Roman" w:eastAsia="仿宋_GB2312" w:cs="Times New Roman"/>
          <w:sz w:val="30"/>
          <w:szCs w:val="30"/>
          <w:lang w:val="en-US" w:eastAsia="zh-CN"/>
        </w:rPr>
        <w:t xml:space="preserve">徐阳鑫  王宇宸  康记珍 </w:t>
      </w:r>
    </w:p>
    <w:p w14:paraId="3FB12ED0">
      <w:pPr>
        <w:keepNext w:val="0"/>
        <w:keepLines w:val="0"/>
        <w:pageBreakBefore w:val="0"/>
        <w:widowControl w:val="0"/>
        <w:kinsoku/>
        <w:wordWrap/>
        <w:overflowPunct/>
        <w:topLinePunct w:val="0"/>
        <w:autoSpaceDE/>
        <w:autoSpaceDN/>
        <w:bidi w:val="0"/>
        <w:snapToGrid/>
        <w:spacing w:after="0" w:line="660" w:lineRule="exact"/>
        <w:jc w:val="left"/>
        <w:textAlignment w:val="auto"/>
        <w:rPr>
          <w:rFonts w:hint="eastAsia" w:ascii="Times New Roman" w:hAnsi="Times New Roman" w:eastAsia="仿宋_GB2312" w:cs="Times New Roman"/>
          <w:b/>
          <w:bCs/>
          <w:kern w:val="0"/>
          <w:sz w:val="30"/>
          <w:szCs w:val="30"/>
          <w:lang w:val="en-US" w:eastAsia="zh-CN"/>
        </w:rPr>
      </w:pPr>
      <w:r>
        <w:rPr>
          <w:rFonts w:hint="eastAsia" w:ascii="Times New Roman" w:hAnsi="Times New Roman" w:eastAsia="仿宋_GB2312" w:cs="Times New Roman"/>
          <w:b/>
          <w:bCs/>
          <w:kern w:val="0"/>
          <w:sz w:val="30"/>
          <w:szCs w:val="30"/>
          <w:lang w:val="en-US" w:eastAsia="zh-CN"/>
        </w:rPr>
        <w:t xml:space="preserve">常山县农村投资集团有限公司 </w:t>
      </w:r>
    </w:p>
    <w:p w14:paraId="39016277">
      <w:pPr>
        <w:keepNext w:val="0"/>
        <w:keepLines w:val="0"/>
        <w:pageBreakBefore w:val="0"/>
        <w:widowControl w:val="0"/>
        <w:kinsoku/>
        <w:wordWrap/>
        <w:overflowPunct/>
        <w:topLinePunct w:val="0"/>
        <w:autoSpaceDE/>
        <w:autoSpaceDN/>
        <w:bidi w:val="0"/>
        <w:adjustRightInd w:val="0"/>
        <w:snapToGrid/>
        <w:spacing w:after="0" w:line="660" w:lineRule="exact"/>
        <w:ind w:firstLine="900" w:firstLineChars="300"/>
        <w:jc w:val="left"/>
        <w:textAlignment w:val="auto"/>
        <w:rPr>
          <w:rFonts w:hint="eastAsia" w:ascii="Times New Roman" w:hAnsi="Times New Roman" w:eastAsia="仿宋_GB2312" w:cs="Times New Roman"/>
          <w:sz w:val="30"/>
          <w:szCs w:val="30"/>
          <w:lang w:val="en-US" w:eastAsia="zh-CN"/>
        </w:rPr>
      </w:pPr>
      <w:r>
        <w:rPr>
          <w:rFonts w:hint="eastAsia" w:ascii="Times New Roman" w:hAnsi="Times New Roman" w:eastAsia="仿宋_GB2312" w:cs="Times New Roman"/>
          <w:sz w:val="30"/>
          <w:szCs w:val="30"/>
          <w:lang w:val="en-US" w:eastAsia="zh-CN"/>
        </w:rPr>
        <w:t>胡文君  方素芳  汪静静</w:t>
      </w:r>
    </w:p>
    <w:p w14:paraId="735A9A14">
      <w:pPr>
        <w:keepNext w:val="0"/>
        <w:keepLines w:val="0"/>
        <w:pageBreakBefore w:val="0"/>
        <w:widowControl w:val="0"/>
        <w:kinsoku/>
        <w:wordWrap/>
        <w:overflowPunct/>
        <w:topLinePunct w:val="0"/>
        <w:autoSpaceDE/>
        <w:autoSpaceDN/>
        <w:bidi w:val="0"/>
        <w:snapToGrid/>
        <w:spacing w:after="0" w:line="660" w:lineRule="exact"/>
        <w:ind w:firstLine="0" w:firstLineChars="0"/>
        <w:textAlignment w:val="auto"/>
        <w:rPr>
          <w:rFonts w:eastAsia="仿宋_GB2312"/>
          <w:sz w:val="30"/>
          <w:szCs w:val="30"/>
        </w:rPr>
      </w:pPr>
      <w:r>
        <w:rPr>
          <w:rFonts w:ascii="Times New Roman" w:hAnsi="Times New Roman" w:eastAsia="仿宋_GB2312" w:cs="Times New Roman"/>
          <w:b/>
          <w:sz w:val="30"/>
          <w:szCs w:val="30"/>
        </w:rPr>
        <w:t>报 告 撰 写：</w:t>
      </w:r>
      <w:r>
        <w:rPr>
          <w:rFonts w:hint="eastAsia" w:ascii="Times New Roman" w:hAnsi="Times New Roman" w:eastAsia="仿宋_GB2312" w:cs="Times New Roman"/>
          <w:sz w:val="30"/>
          <w:szCs w:val="30"/>
          <w:lang w:val="en-US" w:eastAsia="zh-CN"/>
        </w:rPr>
        <w:t>毛卫星</w:t>
      </w:r>
      <w:r>
        <w:rPr>
          <w:rFonts w:ascii="Times New Roman" w:hAnsi="Times New Roman" w:eastAsia="仿宋_GB2312" w:cs="Times New Roman"/>
          <w:sz w:val="30"/>
          <w:szCs w:val="30"/>
        </w:rPr>
        <w:t>（工程师）</w:t>
      </w:r>
    </w:p>
    <w:p w14:paraId="6144D5CF">
      <w:pPr>
        <w:keepNext w:val="0"/>
        <w:keepLines w:val="0"/>
        <w:pageBreakBefore w:val="0"/>
        <w:widowControl w:val="0"/>
        <w:kinsoku/>
        <w:wordWrap/>
        <w:overflowPunct/>
        <w:topLinePunct w:val="0"/>
        <w:autoSpaceDE/>
        <w:autoSpaceDN/>
        <w:bidi w:val="0"/>
        <w:snapToGrid/>
        <w:spacing w:after="0" w:line="660" w:lineRule="exact"/>
        <w:ind w:firstLine="0" w:firstLineChars="0"/>
        <w:textAlignment w:val="auto"/>
        <w:outlineLvl w:val="0"/>
        <w:rPr>
          <w:rFonts w:ascii="Times New Roman" w:hAnsi="Times New Roman" w:eastAsia="仿宋_GB2312" w:cs="Times New Roman"/>
          <w:bCs/>
          <w:sz w:val="30"/>
          <w:szCs w:val="30"/>
        </w:rPr>
      </w:pPr>
      <w:bookmarkStart w:id="90" w:name="_Toc29895"/>
      <w:bookmarkStart w:id="91" w:name="_Toc19580"/>
      <w:bookmarkStart w:id="92" w:name="_Toc30200"/>
      <w:bookmarkStart w:id="93" w:name="_Toc32120"/>
      <w:bookmarkStart w:id="94" w:name="_Toc21844"/>
      <w:bookmarkStart w:id="95" w:name="_Toc12637"/>
      <w:bookmarkStart w:id="96" w:name="_Toc17649"/>
      <w:bookmarkStart w:id="97" w:name="_Toc31988"/>
      <w:bookmarkStart w:id="98" w:name="_Toc7975"/>
      <w:bookmarkStart w:id="99" w:name="_Toc29071"/>
      <w:bookmarkStart w:id="100" w:name="_Toc30556"/>
      <w:bookmarkStart w:id="101" w:name="_Toc20844"/>
      <w:r>
        <w:rPr>
          <w:rFonts w:ascii="Times New Roman" w:hAnsi="Times New Roman" w:eastAsia="仿宋_GB2312" w:cs="Times New Roman"/>
          <w:b/>
          <w:sz w:val="30"/>
          <w:szCs w:val="30"/>
        </w:rPr>
        <w:t>数 据 统 计：</w:t>
      </w:r>
      <w:r>
        <w:rPr>
          <w:rFonts w:hint="eastAsia" w:ascii="Times New Roman" w:hAnsi="Times New Roman" w:eastAsia="仿宋_GB2312" w:cs="Times New Roman"/>
          <w:sz w:val="30"/>
          <w:szCs w:val="30"/>
          <w:lang w:val="en-US" w:eastAsia="zh-CN"/>
        </w:rPr>
        <w:t>赵  彤</w:t>
      </w:r>
      <w:r>
        <w:rPr>
          <w:rFonts w:ascii="Times New Roman" w:hAnsi="Times New Roman" w:eastAsia="仿宋_GB2312" w:cs="Times New Roman"/>
          <w:bCs/>
          <w:sz w:val="30"/>
          <w:szCs w:val="30"/>
        </w:rPr>
        <w:t>（工程师）</w:t>
      </w:r>
      <w:bookmarkEnd w:id="90"/>
      <w:bookmarkEnd w:id="91"/>
      <w:bookmarkEnd w:id="92"/>
      <w:bookmarkEnd w:id="93"/>
      <w:bookmarkEnd w:id="94"/>
      <w:bookmarkEnd w:id="95"/>
      <w:bookmarkEnd w:id="96"/>
      <w:bookmarkEnd w:id="97"/>
      <w:bookmarkEnd w:id="98"/>
      <w:bookmarkEnd w:id="99"/>
      <w:bookmarkEnd w:id="100"/>
      <w:bookmarkEnd w:id="101"/>
    </w:p>
    <w:p w14:paraId="19AC4866">
      <w:pPr>
        <w:keepNext w:val="0"/>
        <w:keepLines w:val="0"/>
        <w:pageBreakBefore w:val="0"/>
        <w:widowControl w:val="0"/>
        <w:kinsoku/>
        <w:wordWrap/>
        <w:overflowPunct/>
        <w:topLinePunct w:val="0"/>
        <w:autoSpaceDE/>
        <w:autoSpaceDN/>
        <w:bidi w:val="0"/>
        <w:snapToGrid/>
        <w:spacing w:after="0" w:line="660" w:lineRule="exact"/>
        <w:ind w:firstLine="0" w:firstLineChars="0"/>
        <w:textAlignment w:val="auto"/>
        <w:outlineLvl w:val="0"/>
        <w:rPr>
          <w:rFonts w:ascii="Times New Roman" w:hAnsi="Times New Roman" w:eastAsia="仿宋_GB2312" w:cs="Times New Roman"/>
          <w:bCs/>
          <w:sz w:val="30"/>
          <w:szCs w:val="30"/>
        </w:rPr>
      </w:pPr>
      <w:bookmarkStart w:id="102" w:name="_Toc7713"/>
      <w:bookmarkStart w:id="103" w:name="_Toc20795"/>
      <w:bookmarkStart w:id="104" w:name="_Toc1110"/>
      <w:bookmarkStart w:id="105" w:name="_Toc19660"/>
      <w:bookmarkStart w:id="106" w:name="_Toc425"/>
      <w:bookmarkStart w:id="107" w:name="_Toc17195"/>
      <w:bookmarkStart w:id="108" w:name="_Toc29515"/>
      <w:bookmarkStart w:id="109" w:name="_Toc13024"/>
      <w:bookmarkStart w:id="110" w:name="_Toc10048"/>
      <w:bookmarkStart w:id="111" w:name="_Toc25960"/>
      <w:bookmarkStart w:id="112" w:name="_Toc30043"/>
      <w:bookmarkStart w:id="113" w:name="_Toc8571"/>
      <w:r>
        <w:rPr>
          <w:rFonts w:hint="eastAsia" w:ascii="Times New Roman" w:hAnsi="Times New Roman" w:eastAsia="仿宋_GB2312" w:cs="Times New Roman"/>
          <w:b/>
          <w:sz w:val="30"/>
          <w:szCs w:val="30"/>
        </w:rPr>
        <w:t>图</w:t>
      </w:r>
      <w:r>
        <w:rPr>
          <w:rFonts w:ascii="Times New Roman" w:hAnsi="Times New Roman" w:eastAsia="仿宋_GB2312" w:cs="Times New Roman"/>
          <w:b/>
          <w:sz w:val="30"/>
          <w:szCs w:val="30"/>
        </w:rPr>
        <w:t xml:space="preserve"> </w:t>
      </w:r>
      <w:r>
        <w:rPr>
          <w:rFonts w:hint="eastAsia" w:ascii="Times New Roman" w:hAnsi="Times New Roman" w:eastAsia="仿宋_GB2312" w:cs="Times New Roman"/>
          <w:b/>
          <w:sz w:val="30"/>
          <w:szCs w:val="30"/>
        </w:rPr>
        <w:t>件</w:t>
      </w:r>
      <w:r>
        <w:rPr>
          <w:rFonts w:ascii="Times New Roman" w:hAnsi="Times New Roman" w:eastAsia="仿宋_GB2312" w:cs="Times New Roman"/>
          <w:b/>
          <w:sz w:val="30"/>
          <w:szCs w:val="30"/>
        </w:rPr>
        <w:t xml:space="preserve"> </w:t>
      </w:r>
      <w:r>
        <w:rPr>
          <w:rFonts w:hint="eastAsia" w:ascii="Times New Roman" w:hAnsi="Times New Roman" w:eastAsia="仿宋_GB2312" w:cs="Times New Roman"/>
          <w:b/>
          <w:sz w:val="30"/>
          <w:szCs w:val="30"/>
        </w:rPr>
        <w:t>制</w:t>
      </w:r>
      <w:r>
        <w:rPr>
          <w:rFonts w:ascii="Times New Roman" w:hAnsi="Times New Roman" w:eastAsia="仿宋_GB2312" w:cs="Times New Roman"/>
          <w:b/>
          <w:sz w:val="30"/>
          <w:szCs w:val="30"/>
        </w:rPr>
        <w:t xml:space="preserve"> </w:t>
      </w:r>
      <w:r>
        <w:rPr>
          <w:rFonts w:hint="eastAsia" w:ascii="Times New Roman" w:hAnsi="Times New Roman" w:eastAsia="仿宋_GB2312" w:cs="Times New Roman"/>
          <w:b/>
          <w:sz w:val="30"/>
          <w:szCs w:val="30"/>
        </w:rPr>
        <w:t>作</w:t>
      </w:r>
      <w:r>
        <w:rPr>
          <w:rFonts w:ascii="Times New Roman" w:hAnsi="Times New Roman" w:eastAsia="仿宋_GB2312" w:cs="Times New Roman"/>
          <w:b/>
          <w:sz w:val="30"/>
          <w:szCs w:val="30"/>
        </w:rPr>
        <w:t>：</w:t>
      </w:r>
      <w:r>
        <w:rPr>
          <w:rFonts w:hint="eastAsia" w:ascii="Times New Roman" w:hAnsi="Times New Roman" w:eastAsia="仿宋_GB2312" w:cs="Times New Roman"/>
          <w:sz w:val="30"/>
          <w:szCs w:val="30"/>
          <w:lang w:val="en-US" w:eastAsia="zh-CN"/>
        </w:rPr>
        <w:t>谢颖盈</w:t>
      </w:r>
      <w:r>
        <w:rPr>
          <w:rFonts w:ascii="Times New Roman" w:hAnsi="Times New Roman" w:eastAsia="仿宋_GB2312" w:cs="Times New Roman"/>
          <w:bCs/>
          <w:sz w:val="30"/>
          <w:szCs w:val="30"/>
        </w:rPr>
        <w:t>（工程师）</w:t>
      </w:r>
      <w:bookmarkEnd w:id="102"/>
      <w:bookmarkEnd w:id="103"/>
      <w:bookmarkEnd w:id="104"/>
      <w:bookmarkEnd w:id="105"/>
      <w:bookmarkEnd w:id="106"/>
      <w:bookmarkEnd w:id="107"/>
      <w:bookmarkEnd w:id="108"/>
      <w:bookmarkEnd w:id="109"/>
      <w:bookmarkEnd w:id="110"/>
      <w:bookmarkEnd w:id="111"/>
      <w:bookmarkEnd w:id="112"/>
      <w:bookmarkEnd w:id="113"/>
    </w:p>
    <w:p w14:paraId="2D1491B7">
      <w:pPr>
        <w:keepNext w:val="0"/>
        <w:keepLines w:val="0"/>
        <w:pageBreakBefore w:val="0"/>
        <w:widowControl w:val="0"/>
        <w:kinsoku/>
        <w:wordWrap/>
        <w:overflowPunct/>
        <w:topLinePunct w:val="0"/>
        <w:autoSpaceDE/>
        <w:autoSpaceDN/>
        <w:bidi w:val="0"/>
        <w:snapToGrid/>
        <w:spacing w:after="0" w:line="660" w:lineRule="exact"/>
        <w:ind w:firstLine="0" w:firstLineChars="0"/>
        <w:textAlignment w:val="auto"/>
        <w:outlineLvl w:val="0"/>
        <w:rPr>
          <w:rFonts w:ascii="Times New Roman" w:hAnsi="Times New Roman" w:eastAsia="仿宋_GB2312" w:cs="Times New Roman"/>
          <w:bCs/>
          <w:sz w:val="30"/>
          <w:szCs w:val="30"/>
        </w:rPr>
      </w:pPr>
      <w:bookmarkStart w:id="114" w:name="_Toc3259"/>
      <w:bookmarkStart w:id="115" w:name="_Toc19191"/>
      <w:bookmarkStart w:id="116" w:name="_Toc7413"/>
      <w:bookmarkStart w:id="117" w:name="_Toc29455"/>
      <w:bookmarkStart w:id="118" w:name="_Toc28522"/>
      <w:bookmarkStart w:id="119" w:name="_Toc4945"/>
      <w:bookmarkStart w:id="120" w:name="_Toc26459"/>
      <w:bookmarkStart w:id="121" w:name="_Toc16724"/>
      <w:bookmarkStart w:id="122" w:name="_Toc20608"/>
      <w:bookmarkStart w:id="123" w:name="_Toc14532"/>
      <w:bookmarkStart w:id="124" w:name="_Toc1066"/>
      <w:bookmarkStart w:id="125" w:name="_Toc17343"/>
      <w:r>
        <w:rPr>
          <w:rFonts w:hint="eastAsia" w:ascii="Times New Roman" w:hAnsi="Times New Roman" w:eastAsia="仿宋_GB2312" w:cs="Times New Roman"/>
          <w:b/>
          <w:sz w:val="30"/>
          <w:szCs w:val="30"/>
        </w:rPr>
        <w:t>成 果 校 核：</w:t>
      </w:r>
      <w:r>
        <w:rPr>
          <w:rFonts w:hint="eastAsia" w:ascii="Times New Roman" w:hAnsi="Times New Roman" w:eastAsia="仿宋_GB2312" w:cs="Times New Roman"/>
          <w:bCs/>
          <w:sz w:val="30"/>
          <w:szCs w:val="30"/>
          <w:lang w:val="en-US" w:eastAsia="zh-CN"/>
        </w:rPr>
        <w:t>聂祥永</w:t>
      </w:r>
      <w:r>
        <w:rPr>
          <w:rFonts w:ascii="Times New Roman" w:hAnsi="Times New Roman" w:eastAsia="仿宋_GB2312" w:cs="Times New Roman"/>
          <w:bCs/>
          <w:sz w:val="30"/>
          <w:szCs w:val="30"/>
        </w:rPr>
        <w:t>（</w:t>
      </w:r>
      <w:r>
        <w:rPr>
          <w:rFonts w:hint="eastAsia" w:ascii="Times New Roman" w:hAnsi="Times New Roman" w:eastAsia="仿宋_GB2312" w:cs="Times New Roman"/>
          <w:bCs/>
          <w:sz w:val="30"/>
          <w:szCs w:val="30"/>
          <w:lang w:val="en-US" w:eastAsia="zh-CN"/>
        </w:rPr>
        <w:t>教授级</w:t>
      </w:r>
      <w:r>
        <w:rPr>
          <w:rFonts w:hint="eastAsia" w:ascii="Times New Roman" w:hAnsi="Times New Roman" w:eastAsia="仿宋_GB2312" w:cs="Times New Roman"/>
          <w:bCs/>
          <w:sz w:val="30"/>
          <w:szCs w:val="30"/>
        </w:rPr>
        <w:t>高</w:t>
      </w:r>
      <w:r>
        <w:rPr>
          <w:rFonts w:ascii="Times New Roman" w:hAnsi="Times New Roman" w:eastAsia="仿宋_GB2312" w:cs="Times New Roman"/>
          <w:bCs/>
          <w:sz w:val="30"/>
          <w:szCs w:val="30"/>
        </w:rPr>
        <w:t>工）</w:t>
      </w:r>
      <w:bookmarkEnd w:id="114"/>
      <w:bookmarkEnd w:id="115"/>
      <w:bookmarkEnd w:id="116"/>
      <w:bookmarkEnd w:id="117"/>
      <w:bookmarkEnd w:id="118"/>
      <w:bookmarkEnd w:id="119"/>
      <w:bookmarkEnd w:id="120"/>
      <w:bookmarkEnd w:id="121"/>
      <w:bookmarkEnd w:id="122"/>
      <w:bookmarkEnd w:id="123"/>
      <w:bookmarkEnd w:id="124"/>
      <w:bookmarkEnd w:id="125"/>
    </w:p>
    <w:p w14:paraId="72F373CD">
      <w:pPr>
        <w:keepNext w:val="0"/>
        <w:keepLines w:val="0"/>
        <w:pageBreakBefore w:val="0"/>
        <w:widowControl w:val="0"/>
        <w:kinsoku/>
        <w:wordWrap/>
        <w:overflowPunct/>
        <w:topLinePunct w:val="0"/>
        <w:autoSpaceDE/>
        <w:autoSpaceDN/>
        <w:bidi w:val="0"/>
        <w:snapToGrid/>
        <w:spacing w:after="0" w:line="660" w:lineRule="exact"/>
        <w:ind w:firstLine="0" w:firstLineChars="0"/>
        <w:textAlignment w:val="auto"/>
        <w:rPr>
          <w:rFonts w:ascii="Times New Roman" w:hAnsi="Times New Roman" w:eastAsia="仿宋_GB2312" w:cs="Times New Roman"/>
          <w:bCs/>
          <w:sz w:val="30"/>
          <w:szCs w:val="30"/>
        </w:rPr>
      </w:pPr>
      <w:r>
        <w:rPr>
          <w:rFonts w:ascii="Times New Roman" w:hAnsi="Times New Roman" w:eastAsia="仿宋_GB2312" w:cs="Times New Roman"/>
          <w:b/>
          <w:sz w:val="30"/>
          <w:szCs w:val="30"/>
        </w:rPr>
        <w:t>处 级 审 查：</w:t>
      </w:r>
      <w:r>
        <w:rPr>
          <w:rFonts w:hint="eastAsia" w:ascii="Times New Roman" w:hAnsi="Times New Roman" w:eastAsia="仿宋_GB2312" w:cs="Times New Roman"/>
          <w:bCs/>
          <w:sz w:val="30"/>
          <w:szCs w:val="30"/>
          <w:lang w:val="en-US" w:eastAsia="zh-CN"/>
        </w:rPr>
        <w:t>卢  佶</w:t>
      </w:r>
      <w:r>
        <w:rPr>
          <w:rFonts w:ascii="Times New Roman" w:hAnsi="Times New Roman" w:eastAsia="仿宋_GB2312" w:cs="Times New Roman"/>
          <w:bCs/>
          <w:sz w:val="30"/>
          <w:szCs w:val="30"/>
        </w:rPr>
        <w:t>（高级工程师）</w:t>
      </w:r>
    </w:p>
    <w:p w14:paraId="73A328F0">
      <w:pPr>
        <w:keepNext w:val="0"/>
        <w:keepLines w:val="0"/>
        <w:pageBreakBefore w:val="0"/>
        <w:widowControl w:val="0"/>
        <w:kinsoku/>
        <w:wordWrap/>
        <w:overflowPunct/>
        <w:topLinePunct w:val="0"/>
        <w:autoSpaceDE/>
        <w:autoSpaceDN/>
        <w:bidi w:val="0"/>
        <w:snapToGrid/>
        <w:spacing w:after="0" w:line="660" w:lineRule="exact"/>
        <w:ind w:firstLine="0" w:firstLineChars="0"/>
        <w:textAlignment w:val="auto"/>
        <w:outlineLvl w:val="0"/>
        <w:rPr>
          <w:rFonts w:ascii="Times New Roman" w:hAnsi="Times New Roman" w:eastAsia="仿宋_GB2312" w:cs="Times New Roman"/>
          <w:bCs/>
          <w:sz w:val="30"/>
          <w:szCs w:val="30"/>
        </w:rPr>
        <w:sectPr>
          <w:headerReference r:id="rId6" w:type="default"/>
          <w:footerReference r:id="rId8" w:type="default"/>
          <w:headerReference r:id="rId7" w:type="even"/>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126" w:name="_Toc9111"/>
      <w:bookmarkStart w:id="127" w:name="_Toc15640"/>
      <w:bookmarkStart w:id="128" w:name="_Toc346"/>
      <w:bookmarkStart w:id="129" w:name="_Toc22099"/>
      <w:bookmarkStart w:id="130" w:name="_Toc17164"/>
      <w:bookmarkStart w:id="131" w:name="_Toc25624"/>
      <w:bookmarkStart w:id="132" w:name="_Toc15155"/>
      <w:bookmarkStart w:id="133" w:name="_Toc4649"/>
      <w:bookmarkStart w:id="134" w:name="_Toc29051"/>
      <w:bookmarkStart w:id="135" w:name="_Toc19714"/>
      <w:bookmarkStart w:id="136" w:name="_Toc12029"/>
      <w:bookmarkStart w:id="137" w:name="_Toc21017"/>
      <w:r>
        <w:rPr>
          <w:rFonts w:ascii="Times New Roman" w:hAnsi="Times New Roman" w:eastAsia="仿宋_GB2312" w:cs="Times New Roman"/>
          <w:b/>
          <w:sz w:val="30"/>
          <w:szCs w:val="30"/>
        </w:rPr>
        <w:t>院 级 审 查：</w:t>
      </w:r>
      <w:r>
        <w:rPr>
          <w:rFonts w:hint="eastAsia" w:ascii="Times New Roman" w:hAnsi="Times New Roman" w:eastAsia="仿宋_GB2312" w:cs="Times New Roman"/>
          <w:bCs/>
          <w:sz w:val="30"/>
          <w:szCs w:val="30"/>
          <w:lang w:val="en-US" w:eastAsia="zh-CN"/>
        </w:rPr>
        <w:t>郑  宇</w:t>
      </w:r>
      <w:r>
        <w:rPr>
          <w:rFonts w:ascii="Times New Roman" w:hAnsi="Times New Roman" w:eastAsia="仿宋_GB2312" w:cs="Times New Roman"/>
          <w:bCs/>
          <w:sz w:val="30"/>
          <w:szCs w:val="30"/>
        </w:rPr>
        <w:t>（</w:t>
      </w:r>
      <w:r>
        <w:rPr>
          <w:rFonts w:hint="eastAsia" w:ascii="Times New Roman" w:hAnsi="Times New Roman" w:eastAsia="仿宋_GB2312" w:cs="Times New Roman"/>
          <w:bCs/>
          <w:sz w:val="30"/>
          <w:szCs w:val="30"/>
        </w:rPr>
        <w:t>教授</w:t>
      </w:r>
      <w:r>
        <w:rPr>
          <w:rFonts w:ascii="Times New Roman" w:hAnsi="Times New Roman" w:eastAsia="仿宋_GB2312" w:cs="Times New Roman"/>
          <w:bCs/>
          <w:sz w:val="30"/>
          <w:szCs w:val="30"/>
        </w:rPr>
        <w:t>级</w:t>
      </w:r>
      <w:r>
        <w:rPr>
          <w:rFonts w:hint="eastAsia" w:ascii="Times New Roman" w:hAnsi="Times New Roman" w:eastAsia="仿宋_GB2312" w:cs="Times New Roman"/>
          <w:bCs/>
          <w:sz w:val="30"/>
          <w:szCs w:val="30"/>
        </w:rPr>
        <w:t>高</w:t>
      </w:r>
      <w:r>
        <w:rPr>
          <w:rFonts w:ascii="Times New Roman" w:hAnsi="Times New Roman" w:eastAsia="仿宋_GB2312" w:cs="Times New Roman"/>
          <w:bCs/>
          <w:sz w:val="30"/>
          <w:szCs w:val="30"/>
        </w:rPr>
        <w:t>工</w:t>
      </w:r>
      <w:r>
        <w:rPr>
          <w:rFonts w:hint="eastAsia" w:ascii="Times New Roman" w:hAnsi="Times New Roman" w:eastAsia="仿宋_GB2312" w:cs="Times New Roman"/>
          <w:bCs/>
          <w:sz w:val="30"/>
          <w:szCs w:val="30"/>
        </w:rPr>
        <w:t>、副总工</w:t>
      </w:r>
      <w:r>
        <w:rPr>
          <w:rFonts w:ascii="Times New Roman" w:hAnsi="Times New Roman" w:eastAsia="仿宋_GB2312" w:cs="Times New Roman"/>
          <w:bCs/>
          <w:sz w:val="30"/>
          <w:szCs w:val="30"/>
        </w:rPr>
        <w:t>）</w:t>
      </w:r>
      <w:bookmarkEnd w:id="126"/>
      <w:bookmarkEnd w:id="127"/>
      <w:bookmarkEnd w:id="128"/>
      <w:bookmarkEnd w:id="129"/>
      <w:bookmarkEnd w:id="130"/>
      <w:bookmarkEnd w:id="131"/>
      <w:bookmarkEnd w:id="132"/>
      <w:bookmarkEnd w:id="133"/>
      <w:bookmarkEnd w:id="134"/>
      <w:bookmarkEnd w:id="135"/>
      <w:bookmarkEnd w:id="136"/>
      <w:bookmarkEnd w:id="137"/>
    </w:p>
    <w:p w14:paraId="0D3F4C4E">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eastAsia" w:ascii="黑体" w:hAnsi="黑体" w:eastAsia="黑体" w:cs="Times New Roman"/>
          <w:b/>
          <w:bCs/>
          <w:kern w:val="0"/>
          <w:sz w:val="30"/>
          <w:szCs w:val="30"/>
          <w:lang w:val="en-US" w:eastAsia="zh-CN" w:bidi="ar-SA"/>
        </w:rPr>
      </w:pPr>
      <w:r>
        <w:rPr>
          <w:rFonts w:hint="eastAsia" w:ascii="黑体" w:hAnsi="黑体" w:eastAsia="黑体" w:cs="Times New Roman"/>
          <w:b/>
          <w:bCs/>
          <w:kern w:val="0"/>
          <w:sz w:val="30"/>
          <w:szCs w:val="30"/>
          <w:lang w:val="en-US" w:eastAsia="zh-CN" w:bidi="ar-SA"/>
        </w:rPr>
        <w:t>目 录</w:t>
      </w:r>
    </w:p>
    <w:sdt>
      <w:sdtPr>
        <w:rPr>
          <w:rFonts w:hint="eastAsia" w:ascii="仿宋_GB2312" w:hAnsi="仿宋_GB2312" w:eastAsia="仿宋_GB2312" w:cs="仿宋_GB2312"/>
          <w:b w:val="0"/>
          <w:bCs w:val="0"/>
          <w:kern w:val="0"/>
          <w:sz w:val="24"/>
          <w:szCs w:val="24"/>
          <w:lang w:val="en-US" w:eastAsia="en-US"/>
        </w:rPr>
        <w:id w:val="147454705"/>
        <w15:color w:val="DBDBDB"/>
        <w:docPartObj>
          <w:docPartGallery w:val="Table of Contents"/>
          <w:docPartUnique/>
        </w:docPartObj>
      </w:sdtPr>
      <w:sdtEndPr>
        <w:rPr>
          <w:rFonts w:hint="eastAsia" w:ascii="宋体" w:hAnsi="宋体" w:eastAsia="宋体" w:cs="宋体"/>
          <w:b/>
          <w:bCs/>
          <w:kern w:val="0"/>
          <w:sz w:val="22"/>
          <w:szCs w:val="28"/>
          <w:lang w:val="en-US" w:eastAsia="zh-CN" w:bidi="ar-SA"/>
        </w:rPr>
      </w:sdtEndPr>
      <w:sdtContent>
        <w:p w14:paraId="75C7351E">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left="0" w:leftChars="0"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TOC \o "1-2" \h \u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HYPERLINK \l _Toc24927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第一章 总论</w:t>
          </w:r>
          <w:r>
            <w:rPr>
              <w:rFonts w:hint="eastAsia" w:ascii="仿宋_GB2312" w:hAnsi="仿宋_GB2312" w:eastAsia="仿宋_GB2312" w:cs="仿宋_GB2312"/>
              <w:b/>
              <w:bCs/>
              <w:kern w:val="0"/>
              <w:sz w:val="24"/>
              <w:szCs w:val="24"/>
              <w:lang w:val="en-US" w:eastAsia="zh-CN"/>
            </w:rPr>
            <w:tab/>
          </w: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PAGEREF _Toc24927 \h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1</w:t>
          </w:r>
          <w:r>
            <w:rPr>
              <w:rFonts w:hint="eastAsia" w:ascii="仿宋_GB2312" w:hAnsi="仿宋_GB2312" w:eastAsia="仿宋_GB2312" w:cs="仿宋_GB2312"/>
              <w:b/>
              <w:bCs/>
              <w:kern w:val="0"/>
              <w:sz w:val="24"/>
              <w:szCs w:val="24"/>
              <w:lang w:val="en-US" w:eastAsia="zh-CN"/>
            </w:rPr>
            <w:fldChar w:fldCharType="end"/>
          </w:r>
          <w:r>
            <w:rPr>
              <w:rFonts w:hint="eastAsia" w:ascii="仿宋_GB2312" w:hAnsi="仿宋_GB2312" w:eastAsia="仿宋_GB2312" w:cs="仿宋_GB2312"/>
              <w:b/>
              <w:bCs/>
              <w:kern w:val="0"/>
              <w:sz w:val="24"/>
              <w:szCs w:val="24"/>
              <w:lang w:val="en-US" w:eastAsia="zh-CN"/>
            </w:rPr>
            <w:fldChar w:fldCharType="end"/>
          </w:r>
        </w:p>
        <w:p w14:paraId="06859F91">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_Toc4146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1.1项目提要</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_Toc4146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0464CE95">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_Toc15720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1.2编制依据</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_Toc15720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5</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1EBC308C">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_Toc17256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1.3项目基本情况概述</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_Toc17256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9</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70FCB302">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_Toc6253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1.4项目建设规模与功能（或产品）方案</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_Toc6253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16</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5327857D">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_Toc29821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1.5指导思想</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_Toc29821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18</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6B57A2F2">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_Toc24167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1.6项目总技术路线</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_Toc24167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19</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5AB9A44D">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_Toc14350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1.7环境保护</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_Toc14350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19</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00C2D23F">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_Toc28631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1.8劳动安全卫生</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_Toc28631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20</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1CE3A06E">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_Toc6514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1.9实施方案与可研批复对比分析说明</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_Toc6514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20</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40976BBD">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_Toc3117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1.10实施方案文件组成</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_Toc3117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22</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35BE6552">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left="0" w:leftChars="0" w:firstLine="0" w:firstLineChars="0"/>
            <w:textAlignment w:val="auto"/>
            <w:rPr>
              <w:rFonts w:hint="eastAsia" w:ascii="仿宋_GB2312" w:hAnsi="仿宋_GB2312" w:eastAsia="仿宋_GB2312" w:cs="仿宋_GB2312"/>
              <w:b/>
              <w:bCs/>
              <w:kern w:val="0"/>
              <w:sz w:val="24"/>
              <w:szCs w:val="24"/>
              <w:lang w:val="en-US" w:eastAsia="zh-CN"/>
            </w:rPr>
          </w:pP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HYPERLINK \l _Toc32257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第二章 项目总平面方案</w:t>
          </w:r>
          <w:r>
            <w:rPr>
              <w:rFonts w:hint="eastAsia" w:ascii="仿宋_GB2312" w:hAnsi="仿宋_GB2312" w:eastAsia="仿宋_GB2312" w:cs="仿宋_GB2312"/>
              <w:b/>
              <w:bCs/>
              <w:kern w:val="0"/>
              <w:sz w:val="24"/>
              <w:szCs w:val="24"/>
              <w:lang w:val="en-US" w:eastAsia="zh-CN"/>
            </w:rPr>
            <w:tab/>
          </w: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PAGEREF _Toc32257 \h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23</w:t>
          </w:r>
          <w:r>
            <w:rPr>
              <w:rFonts w:hint="eastAsia" w:ascii="仿宋_GB2312" w:hAnsi="仿宋_GB2312" w:eastAsia="仿宋_GB2312" w:cs="仿宋_GB2312"/>
              <w:b/>
              <w:bCs/>
              <w:kern w:val="0"/>
              <w:sz w:val="24"/>
              <w:szCs w:val="24"/>
              <w:lang w:val="en-US" w:eastAsia="zh-CN"/>
            </w:rPr>
            <w:fldChar w:fldCharType="end"/>
          </w:r>
          <w:r>
            <w:rPr>
              <w:rFonts w:hint="eastAsia" w:ascii="仿宋_GB2312" w:hAnsi="仿宋_GB2312" w:eastAsia="仿宋_GB2312" w:cs="仿宋_GB2312"/>
              <w:b/>
              <w:bCs/>
              <w:kern w:val="0"/>
              <w:sz w:val="24"/>
              <w:szCs w:val="24"/>
              <w:lang w:val="en-US" w:eastAsia="zh-CN"/>
            </w:rPr>
            <w:fldChar w:fldCharType="end"/>
          </w:r>
        </w:p>
        <w:p w14:paraId="67ED258F">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_Toc16487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2.1依据及基础资料</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_Toc16487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23</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18F8CA62">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_Toc4033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2.2场地概述</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_Toc4033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23</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383A71E4">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_Toc899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2.3总平面布置</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_Toc899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24</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5AAFC159">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left="0" w:leftChars="0" w:firstLine="0" w:firstLineChars="0"/>
            <w:textAlignment w:val="auto"/>
            <w:rPr>
              <w:rFonts w:hint="eastAsia" w:ascii="仿宋_GB2312" w:hAnsi="仿宋_GB2312" w:eastAsia="仿宋_GB2312" w:cs="仿宋_GB2312"/>
              <w:b/>
              <w:bCs/>
              <w:kern w:val="0"/>
              <w:sz w:val="24"/>
              <w:szCs w:val="24"/>
              <w:lang w:val="en-US" w:eastAsia="zh-CN"/>
            </w:rPr>
          </w:pP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HYPERLINK \l _Toc21116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第三章 营造林方案</w:t>
          </w:r>
          <w:r>
            <w:rPr>
              <w:rFonts w:hint="eastAsia" w:ascii="仿宋_GB2312" w:hAnsi="仿宋_GB2312" w:eastAsia="仿宋_GB2312" w:cs="仿宋_GB2312"/>
              <w:b/>
              <w:bCs/>
              <w:kern w:val="0"/>
              <w:sz w:val="24"/>
              <w:szCs w:val="24"/>
              <w:lang w:val="en-US" w:eastAsia="zh-CN"/>
            </w:rPr>
            <w:tab/>
          </w: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PAGEREF _Toc21116 \h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27</w:t>
          </w:r>
          <w:r>
            <w:rPr>
              <w:rFonts w:hint="eastAsia" w:ascii="仿宋_GB2312" w:hAnsi="仿宋_GB2312" w:eastAsia="仿宋_GB2312" w:cs="仿宋_GB2312"/>
              <w:b/>
              <w:bCs/>
              <w:kern w:val="0"/>
              <w:sz w:val="24"/>
              <w:szCs w:val="24"/>
              <w:lang w:val="en-US" w:eastAsia="zh-CN"/>
            </w:rPr>
            <w:fldChar w:fldCharType="end"/>
          </w:r>
          <w:r>
            <w:rPr>
              <w:rFonts w:hint="eastAsia" w:ascii="仿宋_GB2312" w:hAnsi="仿宋_GB2312" w:eastAsia="仿宋_GB2312" w:cs="仿宋_GB2312"/>
              <w:b/>
              <w:bCs/>
              <w:kern w:val="0"/>
              <w:sz w:val="24"/>
              <w:szCs w:val="24"/>
              <w:lang w:val="en-US" w:eastAsia="zh-CN"/>
            </w:rPr>
            <w:fldChar w:fldCharType="end"/>
          </w:r>
        </w:p>
        <w:p w14:paraId="238A722E">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_Toc14275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3.1营造林地块基本情况</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_Toc14275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27</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32324D0D">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_Toc24202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3.2立地类型划分</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_Toc24202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27</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0A13DBE3">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_Toc16083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3.3造林前林木采伐</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_Toc16083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28</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4AA0202E">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_Toc22221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3.4树种选择</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_Toc22221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30</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5B5EF200">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_Toc76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3.5营造林模式设计</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_Toc76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30</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126960DB">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_Toc7095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3.6营造林技术措施</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_Toc7095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31</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3AABE25E">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_Toc32047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3.7种苗组织设计</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_Toc32047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42</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5FFBBFA4">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left="0" w:leftChars="0" w:firstLine="0" w:firstLineChars="0"/>
            <w:textAlignment w:val="auto"/>
            <w:rPr>
              <w:rFonts w:hint="eastAsia" w:ascii="仿宋_GB2312" w:hAnsi="仿宋_GB2312" w:eastAsia="仿宋_GB2312" w:cs="仿宋_GB2312"/>
              <w:b/>
              <w:bCs/>
              <w:kern w:val="0"/>
              <w:sz w:val="24"/>
              <w:szCs w:val="24"/>
              <w:lang w:val="en-US" w:eastAsia="zh-CN"/>
            </w:rPr>
          </w:pP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HYPERLINK \l _Toc2894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第四章 水肥一体化方案</w:t>
          </w:r>
          <w:r>
            <w:rPr>
              <w:rFonts w:hint="eastAsia" w:ascii="仿宋_GB2312" w:hAnsi="仿宋_GB2312" w:eastAsia="仿宋_GB2312" w:cs="仿宋_GB2312"/>
              <w:b/>
              <w:bCs/>
              <w:kern w:val="0"/>
              <w:sz w:val="24"/>
              <w:szCs w:val="24"/>
              <w:lang w:val="en-US" w:eastAsia="zh-CN"/>
            </w:rPr>
            <w:tab/>
          </w: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PAGEREF _Toc2894 \h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46</w:t>
          </w:r>
          <w:r>
            <w:rPr>
              <w:rFonts w:hint="eastAsia" w:ascii="仿宋_GB2312" w:hAnsi="仿宋_GB2312" w:eastAsia="仿宋_GB2312" w:cs="仿宋_GB2312"/>
              <w:b/>
              <w:bCs/>
              <w:kern w:val="0"/>
              <w:sz w:val="24"/>
              <w:szCs w:val="24"/>
              <w:lang w:val="en-US" w:eastAsia="zh-CN"/>
            </w:rPr>
            <w:fldChar w:fldCharType="end"/>
          </w:r>
          <w:r>
            <w:rPr>
              <w:rFonts w:hint="eastAsia" w:ascii="仿宋_GB2312" w:hAnsi="仿宋_GB2312" w:eastAsia="仿宋_GB2312" w:cs="仿宋_GB2312"/>
              <w:b/>
              <w:bCs/>
              <w:kern w:val="0"/>
              <w:sz w:val="24"/>
              <w:szCs w:val="24"/>
              <w:lang w:val="en-US" w:eastAsia="zh-CN"/>
            </w:rPr>
            <w:fldChar w:fldCharType="end"/>
          </w:r>
        </w:p>
        <w:p w14:paraId="665A8EAC">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_Toc8263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4.1设计依据</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_Toc8263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46</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726CB80D">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_Toc24206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4.2设计思路</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_Toc24206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46</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1082DC8B">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_Toc14997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4.3设计参数</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_Toc14997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47</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44BC5F85">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_Toc30359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4.4首部设计</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_Toc30359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47</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08458C97">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_Toc21563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4.5输水管网</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_Toc21563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48</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436FAE5C">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_Toc16518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4.6灌水器选型</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_Toc16518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49</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76F74C81">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_Toc32114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4.7灌溉制度</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_Toc32114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49</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5B229574">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_Toc19698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4.8浇灌系统设计</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_Toc19698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50</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6DBE032D">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_Toc26777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4.9灌溉运营</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_Toc26777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51</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4D31916E">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_Toc24666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4.10供电设计</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_Toc24666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52</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20D965EF">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left="0" w:leftChars="0" w:firstLine="0" w:firstLineChars="0"/>
            <w:textAlignment w:val="auto"/>
            <w:rPr>
              <w:rFonts w:hint="eastAsia" w:ascii="仿宋_GB2312" w:hAnsi="仿宋_GB2312" w:eastAsia="仿宋_GB2312" w:cs="仿宋_GB2312"/>
              <w:b/>
              <w:bCs/>
              <w:kern w:val="0"/>
              <w:sz w:val="24"/>
              <w:szCs w:val="24"/>
              <w:lang w:val="en-US" w:eastAsia="zh-CN"/>
            </w:rPr>
          </w:pP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HYPERLINK \l _Toc7524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第五章 作业道路方案</w:t>
          </w:r>
          <w:r>
            <w:rPr>
              <w:rFonts w:hint="eastAsia" w:ascii="仿宋_GB2312" w:hAnsi="仿宋_GB2312" w:eastAsia="仿宋_GB2312" w:cs="仿宋_GB2312"/>
              <w:b/>
              <w:bCs/>
              <w:kern w:val="0"/>
              <w:sz w:val="24"/>
              <w:szCs w:val="24"/>
              <w:lang w:val="en-US" w:eastAsia="zh-CN"/>
            </w:rPr>
            <w:tab/>
          </w: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PAGEREF _Toc7524 \h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53</w:t>
          </w:r>
          <w:r>
            <w:rPr>
              <w:rFonts w:hint="eastAsia" w:ascii="仿宋_GB2312" w:hAnsi="仿宋_GB2312" w:eastAsia="仿宋_GB2312" w:cs="仿宋_GB2312"/>
              <w:b/>
              <w:bCs/>
              <w:kern w:val="0"/>
              <w:sz w:val="24"/>
              <w:szCs w:val="24"/>
              <w:lang w:val="en-US" w:eastAsia="zh-CN"/>
            </w:rPr>
            <w:fldChar w:fldCharType="end"/>
          </w:r>
          <w:r>
            <w:rPr>
              <w:rFonts w:hint="eastAsia" w:ascii="仿宋_GB2312" w:hAnsi="仿宋_GB2312" w:eastAsia="仿宋_GB2312" w:cs="仿宋_GB2312"/>
              <w:b/>
              <w:bCs/>
              <w:kern w:val="0"/>
              <w:sz w:val="24"/>
              <w:szCs w:val="24"/>
              <w:lang w:val="en-US" w:eastAsia="zh-CN"/>
            </w:rPr>
            <w:fldChar w:fldCharType="end"/>
          </w:r>
        </w:p>
        <w:p w14:paraId="6A70FD42">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_Toc11280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5.1 设计原则</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_Toc11280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53</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1A069083">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_Toc22178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5.2 技术标准</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_Toc22178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53</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6C7FDEDF">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_Toc7005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5.3 路面结构</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_Toc7005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56</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7CCB8359">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_Toc26436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5.4 路基处理</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_Toc26436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57</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317FAD96">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_Toc16122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5.5 路基填料</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_Toc16122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59</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253D91F6">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_Toc10374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5.6 压实标准及填筑要求</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_Toc10374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60</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1F90D27B">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_Toc28941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5.7 施工注意事项</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_Toc28941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60</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77208A27">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left="0" w:leftChars="0" w:firstLine="0" w:firstLineChars="0"/>
            <w:textAlignment w:val="auto"/>
            <w:rPr>
              <w:rFonts w:hint="eastAsia" w:ascii="仿宋_GB2312" w:hAnsi="仿宋_GB2312" w:eastAsia="仿宋_GB2312" w:cs="仿宋_GB2312"/>
              <w:b/>
              <w:bCs/>
              <w:kern w:val="0"/>
              <w:sz w:val="24"/>
              <w:szCs w:val="24"/>
              <w:lang w:val="en-US" w:eastAsia="zh-CN"/>
            </w:rPr>
          </w:pP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HYPERLINK \l _Toc16996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第六章 劳动安全和卫生方案</w:t>
          </w:r>
          <w:r>
            <w:rPr>
              <w:rFonts w:hint="eastAsia" w:ascii="仿宋_GB2312" w:hAnsi="仿宋_GB2312" w:eastAsia="仿宋_GB2312" w:cs="仿宋_GB2312"/>
              <w:b/>
              <w:bCs/>
              <w:kern w:val="0"/>
              <w:sz w:val="24"/>
              <w:szCs w:val="24"/>
              <w:lang w:val="en-US" w:eastAsia="zh-CN"/>
            </w:rPr>
            <w:tab/>
          </w: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PAGEREF _Toc16996 \h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62</w:t>
          </w:r>
          <w:r>
            <w:rPr>
              <w:rFonts w:hint="eastAsia" w:ascii="仿宋_GB2312" w:hAnsi="仿宋_GB2312" w:eastAsia="仿宋_GB2312" w:cs="仿宋_GB2312"/>
              <w:b/>
              <w:bCs/>
              <w:kern w:val="0"/>
              <w:sz w:val="24"/>
              <w:szCs w:val="24"/>
              <w:lang w:val="en-US" w:eastAsia="zh-CN"/>
            </w:rPr>
            <w:fldChar w:fldCharType="end"/>
          </w:r>
          <w:r>
            <w:rPr>
              <w:rFonts w:hint="eastAsia" w:ascii="仿宋_GB2312" w:hAnsi="仿宋_GB2312" w:eastAsia="仿宋_GB2312" w:cs="仿宋_GB2312"/>
              <w:b/>
              <w:bCs/>
              <w:kern w:val="0"/>
              <w:sz w:val="24"/>
              <w:szCs w:val="24"/>
              <w:lang w:val="en-US" w:eastAsia="zh-CN"/>
            </w:rPr>
            <w:fldChar w:fldCharType="end"/>
          </w:r>
        </w:p>
        <w:p w14:paraId="1ECAEFE9">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_Toc24137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6.1 设计依据</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_Toc24137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62</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03CC04BB">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_Toc26825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6.2 设计原则</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_Toc26825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62</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11EAD41E">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_Toc17642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6.3 劳动安全</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_Toc17642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62</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24BDB12B">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left="0" w:leftChars="0" w:firstLine="0" w:firstLineChars="0"/>
            <w:textAlignment w:val="auto"/>
            <w:rPr>
              <w:rFonts w:hint="eastAsia" w:ascii="仿宋_GB2312" w:hAnsi="仿宋_GB2312" w:eastAsia="仿宋_GB2312" w:cs="仿宋_GB2312"/>
              <w:b/>
              <w:bCs/>
              <w:kern w:val="0"/>
              <w:sz w:val="24"/>
              <w:szCs w:val="24"/>
              <w:lang w:val="en-US" w:eastAsia="zh-CN"/>
            </w:rPr>
          </w:pP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HYPERLINK \l _Toc15125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第七章 环境保护和节能节水方案</w:t>
          </w:r>
          <w:r>
            <w:rPr>
              <w:rFonts w:hint="eastAsia" w:ascii="仿宋_GB2312" w:hAnsi="仿宋_GB2312" w:eastAsia="仿宋_GB2312" w:cs="仿宋_GB2312"/>
              <w:b/>
              <w:bCs/>
              <w:kern w:val="0"/>
              <w:sz w:val="24"/>
              <w:szCs w:val="24"/>
              <w:lang w:val="en-US" w:eastAsia="zh-CN"/>
            </w:rPr>
            <w:tab/>
          </w: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PAGEREF _Toc15125 \h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70</w:t>
          </w:r>
          <w:r>
            <w:rPr>
              <w:rFonts w:hint="eastAsia" w:ascii="仿宋_GB2312" w:hAnsi="仿宋_GB2312" w:eastAsia="仿宋_GB2312" w:cs="仿宋_GB2312"/>
              <w:b/>
              <w:bCs/>
              <w:kern w:val="0"/>
              <w:sz w:val="24"/>
              <w:szCs w:val="24"/>
              <w:lang w:val="en-US" w:eastAsia="zh-CN"/>
            </w:rPr>
            <w:fldChar w:fldCharType="end"/>
          </w:r>
          <w:r>
            <w:rPr>
              <w:rFonts w:hint="eastAsia" w:ascii="仿宋_GB2312" w:hAnsi="仿宋_GB2312" w:eastAsia="仿宋_GB2312" w:cs="仿宋_GB2312"/>
              <w:b/>
              <w:bCs/>
              <w:kern w:val="0"/>
              <w:sz w:val="24"/>
              <w:szCs w:val="24"/>
              <w:lang w:val="en-US" w:eastAsia="zh-CN"/>
            </w:rPr>
            <w:fldChar w:fldCharType="end"/>
          </w:r>
        </w:p>
        <w:p w14:paraId="673382F4">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_Toc154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7.1 环境保护设计</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_Toc154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70</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27E99A1E">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_Toc8427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7.2 节能节水设计</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_Toc8427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74</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6FE1750E">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left="0" w:leftChars="0" w:firstLine="0" w:firstLineChars="0"/>
            <w:textAlignment w:val="auto"/>
            <w:rPr>
              <w:rFonts w:hint="eastAsia" w:ascii="仿宋_GB2312" w:hAnsi="仿宋_GB2312" w:eastAsia="仿宋_GB2312" w:cs="仿宋_GB2312"/>
              <w:b/>
              <w:bCs/>
              <w:kern w:val="0"/>
              <w:sz w:val="24"/>
              <w:szCs w:val="24"/>
              <w:lang w:val="en-US" w:eastAsia="zh-CN"/>
            </w:rPr>
          </w:pP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HYPERLINK \l _Toc29321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第八章 项目组织管理</w:t>
          </w:r>
          <w:r>
            <w:rPr>
              <w:rFonts w:hint="eastAsia" w:ascii="仿宋_GB2312" w:hAnsi="仿宋_GB2312" w:eastAsia="仿宋_GB2312" w:cs="仿宋_GB2312"/>
              <w:b/>
              <w:bCs/>
              <w:kern w:val="0"/>
              <w:sz w:val="24"/>
              <w:szCs w:val="24"/>
              <w:lang w:val="en-US" w:eastAsia="zh-CN"/>
            </w:rPr>
            <w:tab/>
          </w: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PAGEREF _Toc29321 \h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77</w:t>
          </w:r>
          <w:r>
            <w:rPr>
              <w:rFonts w:hint="eastAsia" w:ascii="仿宋_GB2312" w:hAnsi="仿宋_GB2312" w:eastAsia="仿宋_GB2312" w:cs="仿宋_GB2312"/>
              <w:b/>
              <w:bCs/>
              <w:kern w:val="0"/>
              <w:sz w:val="24"/>
              <w:szCs w:val="24"/>
              <w:lang w:val="en-US" w:eastAsia="zh-CN"/>
            </w:rPr>
            <w:fldChar w:fldCharType="end"/>
          </w:r>
          <w:r>
            <w:rPr>
              <w:rFonts w:hint="eastAsia" w:ascii="仿宋_GB2312" w:hAnsi="仿宋_GB2312" w:eastAsia="仿宋_GB2312" w:cs="仿宋_GB2312"/>
              <w:b/>
              <w:bCs/>
              <w:kern w:val="0"/>
              <w:sz w:val="24"/>
              <w:szCs w:val="24"/>
              <w:lang w:val="en-US" w:eastAsia="zh-CN"/>
            </w:rPr>
            <w:fldChar w:fldCharType="end"/>
          </w:r>
        </w:p>
        <w:p w14:paraId="5AD680BC">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_Toc5741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8.1 组织管理</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_Toc5741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77</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6AE5AFB3">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_Toc3901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8.2 计划管理</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_Toc3901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78</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3A1498B4">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_Toc11080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8.3 林地流转管理</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_Toc11080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79</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64993F2A">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left="0" w:leftChars="0" w:firstLine="0" w:firstLineChars="0"/>
            <w:textAlignment w:val="auto"/>
            <w:rPr>
              <w:rFonts w:hint="eastAsia" w:ascii="仿宋_GB2312" w:hAnsi="仿宋_GB2312" w:eastAsia="仿宋_GB2312" w:cs="仿宋_GB2312"/>
              <w:b/>
              <w:bCs/>
              <w:kern w:val="0"/>
              <w:sz w:val="24"/>
              <w:szCs w:val="24"/>
              <w:lang w:val="en-US" w:eastAsia="zh-CN"/>
            </w:rPr>
          </w:pP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HYPERLINK \l _Toc26596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第九章 招投标管理</w:t>
          </w:r>
          <w:r>
            <w:rPr>
              <w:rFonts w:hint="eastAsia" w:ascii="仿宋_GB2312" w:hAnsi="仿宋_GB2312" w:eastAsia="仿宋_GB2312" w:cs="仿宋_GB2312"/>
              <w:b/>
              <w:bCs/>
              <w:kern w:val="0"/>
              <w:sz w:val="24"/>
              <w:szCs w:val="24"/>
              <w:lang w:val="en-US" w:eastAsia="zh-CN"/>
            </w:rPr>
            <w:tab/>
          </w: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PAGEREF _Toc26596 \h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81</w:t>
          </w:r>
          <w:r>
            <w:rPr>
              <w:rFonts w:hint="eastAsia" w:ascii="仿宋_GB2312" w:hAnsi="仿宋_GB2312" w:eastAsia="仿宋_GB2312" w:cs="仿宋_GB2312"/>
              <w:b/>
              <w:bCs/>
              <w:kern w:val="0"/>
              <w:sz w:val="24"/>
              <w:szCs w:val="24"/>
              <w:lang w:val="en-US" w:eastAsia="zh-CN"/>
            </w:rPr>
            <w:fldChar w:fldCharType="end"/>
          </w:r>
          <w:r>
            <w:rPr>
              <w:rFonts w:hint="eastAsia" w:ascii="仿宋_GB2312" w:hAnsi="仿宋_GB2312" w:eastAsia="仿宋_GB2312" w:cs="仿宋_GB2312"/>
              <w:b/>
              <w:bCs/>
              <w:kern w:val="0"/>
              <w:sz w:val="24"/>
              <w:szCs w:val="24"/>
              <w:lang w:val="en-US" w:eastAsia="zh-CN"/>
            </w:rPr>
            <w:fldChar w:fldCharType="end"/>
          </w:r>
        </w:p>
        <w:p w14:paraId="05298CD0">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_Toc21319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9.1招标范围</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_Toc21319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81</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5681BFAE">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_Toc29485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9.2招标组织形式</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_Toc29485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81</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510A8109">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_Toc23613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9.3招标工作安排</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_Toc23613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81</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779A76F9">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_Toc14836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9.4招标方式</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_Toc14836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82</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01E7B303">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left="0" w:leftChars="0" w:firstLine="0" w:firstLineChars="0"/>
            <w:textAlignment w:val="auto"/>
            <w:rPr>
              <w:rFonts w:hint="eastAsia" w:ascii="仿宋_GB2312" w:hAnsi="仿宋_GB2312" w:eastAsia="仿宋_GB2312" w:cs="仿宋_GB2312"/>
              <w:b/>
              <w:bCs/>
              <w:kern w:val="0"/>
              <w:sz w:val="24"/>
              <w:szCs w:val="24"/>
              <w:lang w:val="en-US" w:eastAsia="zh-CN"/>
            </w:rPr>
          </w:pP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HYPERLINK \l _Toc15498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第十章 施工组织方案</w:t>
          </w:r>
          <w:r>
            <w:rPr>
              <w:rFonts w:hint="eastAsia" w:ascii="仿宋_GB2312" w:hAnsi="仿宋_GB2312" w:eastAsia="仿宋_GB2312" w:cs="仿宋_GB2312"/>
              <w:b/>
              <w:bCs/>
              <w:kern w:val="0"/>
              <w:sz w:val="24"/>
              <w:szCs w:val="24"/>
              <w:lang w:val="en-US" w:eastAsia="zh-CN"/>
            </w:rPr>
            <w:tab/>
          </w: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PAGEREF _Toc15498 \h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84</w:t>
          </w:r>
          <w:r>
            <w:rPr>
              <w:rFonts w:hint="eastAsia" w:ascii="仿宋_GB2312" w:hAnsi="仿宋_GB2312" w:eastAsia="仿宋_GB2312" w:cs="仿宋_GB2312"/>
              <w:b/>
              <w:bCs/>
              <w:kern w:val="0"/>
              <w:sz w:val="24"/>
              <w:szCs w:val="24"/>
              <w:lang w:val="en-US" w:eastAsia="zh-CN"/>
            </w:rPr>
            <w:fldChar w:fldCharType="end"/>
          </w:r>
          <w:r>
            <w:rPr>
              <w:rFonts w:hint="eastAsia" w:ascii="仿宋_GB2312" w:hAnsi="仿宋_GB2312" w:eastAsia="仿宋_GB2312" w:cs="仿宋_GB2312"/>
              <w:b/>
              <w:bCs/>
              <w:kern w:val="0"/>
              <w:sz w:val="24"/>
              <w:szCs w:val="24"/>
              <w:lang w:val="en-US" w:eastAsia="zh-CN"/>
            </w:rPr>
            <w:fldChar w:fldCharType="end"/>
          </w:r>
        </w:p>
        <w:p w14:paraId="11FCA8C5">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_Toc28229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10.1施工组织</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_Toc28229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84</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7AD40CDD">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_Toc18060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10.2项目检查验收</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_Toc18060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86</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4BAFEAD5">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_Toc26498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10.3进度安排</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_Toc26498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87</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5D3EAF92">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_Toc28847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10.4绩效管理</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_Toc28847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87</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380FFF21">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left="0" w:leftChars="0" w:firstLine="0" w:firstLineChars="0"/>
            <w:textAlignment w:val="auto"/>
            <w:rPr>
              <w:rFonts w:hint="eastAsia" w:ascii="仿宋_GB2312" w:hAnsi="仿宋_GB2312" w:eastAsia="仿宋_GB2312" w:cs="仿宋_GB2312"/>
              <w:b/>
              <w:bCs/>
              <w:kern w:val="0"/>
              <w:sz w:val="24"/>
              <w:szCs w:val="24"/>
              <w:lang w:val="en-US" w:eastAsia="zh-CN"/>
            </w:rPr>
          </w:pP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HYPERLINK \l _Toc5296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第十一章 投资概算及资金筹措</w:t>
          </w:r>
          <w:r>
            <w:rPr>
              <w:rFonts w:hint="eastAsia" w:ascii="仿宋_GB2312" w:hAnsi="仿宋_GB2312" w:eastAsia="仿宋_GB2312" w:cs="仿宋_GB2312"/>
              <w:b/>
              <w:bCs/>
              <w:kern w:val="0"/>
              <w:sz w:val="24"/>
              <w:szCs w:val="24"/>
              <w:lang w:val="en-US" w:eastAsia="zh-CN"/>
            </w:rPr>
            <w:tab/>
          </w: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PAGEREF _Toc5296 \h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89</w:t>
          </w:r>
          <w:r>
            <w:rPr>
              <w:rFonts w:hint="eastAsia" w:ascii="仿宋_GB2312" w:hAnsi="仿宋_GB2312" w:eastAsia="仿宋_GB2312" w:cs="仿宋_GB2312"/>
              <w:b/>
              <w:bCs/>
              <w:kern w:val="0"/>
              <w:sz w:val="24"/>
              <w:szCs w:val="24"/>
              <w:lang w:val="en-US" w:eastAsia="zh-CN"/>
            </w:rPr>
            <w:fldChar w:fldCharType="end"/>
          </w:r>
          <w:r>
            <w:rPr>
              <w:rFonts w:hint="eastAsia" w:ascii="仿宋_GB2312" w:hAnsi="仿宋_GB2312" w:eastAsia="仿宋_GB2312" w:cs="仿宋_GB2312"/>
              <w:b/>
              <w:bCs/>
              <w:kern w:val="0"/>
              <w:sz w:val="24"/>
              <w:szCs w:val="24"/>
              <w:lang w:val="en-US" w:eastAsia="zh-CN"/>
            </w:rPr>
            <w:fldChar w:fldCharType="end"/>
          </w:r>
        </w:p>
        <w:p w14:paraId="46096EAE">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_Toc7938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11.1 投资概算</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_Toc7938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89</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5CDC8E80">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_Toc31208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11.2 资金筹措</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_Toc31208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101</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6A1421FF">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left="0" w:leftChars="0" w:firstLine="0" w:firstLineChars="0"/>
            <w:textAlignment w:val="auto"/>
            <w:rPr>
              <w:rFonts w:hint="eastAsia" w:ascii="仿宋_GB2312" w:hAnsi="仿宋_GB2312" w:eastAsia="仿宋_GB2312" w:cs="仿宋_GB2312"/>
              <w:b/>
              <w:bCs/>
              <w:kern w:val="0"/>
              <w:sz w:val="24"/>
              <w:szCs w:val="24"/>
              <w:lang w:val="en-US" w:eastAsia="zh-CN"/>
            </w:rPr>
          </w:pP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HYPERLINK \l _Toc13785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第十二章 项目效益分析</w:t>
          </w:r>
          <w:r>
            <w:rPr>
              <w:rFonts w:hint="eastAsia" w:ascii="仿宋_GB2312" w:hAnsi="仿宋_GB2312" w:eastAsia="仿宋_GB2312" w:cs="仿宋_GB2312"/>
              <w:b/>
              <w:bCs/>
              <w:kern w:val="0"/>
              <w:sz w:val="24"/>
              <w:szCs w:val="24"/>
              <w:lang w:val="en-US" w:eastAsia="zh-CN"/>
            </w:rPr>
            <w:tab/>
          </w: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PAGEREF _Toc13785 \h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103</w:t>
          </w:r>
          <w:r>
            <w:rPr>
              <w:rFonts w:hint="eastAsia" w:ascii="仿宋_GB2312" w:hAnsi="仿宋_GB2312" w:eastAsia="仿宋_GB2312" w:cs="仿宋_GB2312"/>
              <w:b/>
              <w:bCs/>
              <w:kern w:val="0"/>
              <w:sz w:val="24"/>
              <w:szCs w:val="24"/>
              <w:lang w:val="en-US" w:eastAsia="zh-CN"/>
            </w:rPr>
            <w:fldChar w:fldCharType="end"/>
          </w:r>
          <w:r>
            <w:rPr>
              <w:rFonts w:hint="eastAsia" w:ascii="仿宋_GB2312" w:hAnsi="仿宋_GB2312" w:eastAsia="仿宋_GB2312" w:cs="仿宋_GB2312"/>
              <w:b/>
              <w:bCs/>
              <w:kern w:val="0"/>
              <w:sz w:val="24"/>
              <w:szCs w:val="24"/>
              <w:lang w:val="en-US" w:eastAsia="zh-CN"/>
            </w:rPr>
            <w:fldChar w:fldCharType="end"/>
          </w:r>
        </w:p>
        <w:p w14:paraId="56E8B0AF">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_Toc7052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12.1 生态效益分析</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_Toc7052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103</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2866AEFC">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_Toc25868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12.2 社会效益分析</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_Toc25868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104</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19E73546">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_Toc18958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12.3 经济效益分析</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_Toc18958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105</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769B61FD">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left="0" w:leftChars="0" w:firstLine="0" w:firstLineChars="0"/>
            <w:textAlignment w:val="auto"/>
            <w:rPr>
              <w:rFonts w:hint="eastAsia" w:ascii="仿宋_GB2312" w:hAnsi="仿宋_GB2312" w:eastAsia="仿宋_GB2312" w:cs="仿宋_GB2312"/>
              <w:b/>
              <w:bCs/>
              <w:kern w:val="0"/>
              <w:sz w:val="24"/>
              <w:szCs w:val="24"/>
              <w:lang w:val="en-US" w:eastAsia="zh-CN"/>
            </w:rPr>
          </w:pP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HYPERLINK \l _Toc7566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第十三章  结论与建议</w:t>
          </w:r>
          <w:r>
            <w:rPr>
              <w:rFonts w:hint="eastAsia" w:ascii="仿宋_GB2312" w:hAnsi="仿宋_GB2312" w:eastAsia="仿宋_GB2312" w:cs="仿宋_GB2312"/>
              <w:b/>
              <w:bCs/>
              <w:kern w:val="0"/>
              <w:sz w:val="24"/>
              <w:szCs w:val="24"/>
              <w:lang w:val="en-US" w:eastAsia="zh-CN"/>
            </w:rPr>
            <w:tab/>
          </w: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PAGEREF _Toc7566 \h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en-US" w:eastAsia="zh-CN"/>
            </w:rPr>
            <w:t>108</w:t>
          </w:r>
          <w:r>
            <w:rPr>
              <w:rFonts w:hint="eastAsia" w:ascii="仿宋_GB2312" w:hAnsi="仿宋_GB2312" w:eastAsia="仿宋_GB2312" w:cs="仿宋_GB2312"/>
              <w:b/>
              <w:bCs/>
              <w:kern w:val="0"/>
              <w:sz w:val="24"/>
              <w:szCs w:val="24"/>
              <w:lang w:val="en-US" w:eastAsia="zh-CN"/>
            </w:rPr>
            <w:fldChar w:fldCharType="end"/>
          </w:r>
          <w:r>
            <w:rPr>
              <w:rFonts w:hint="eastAsia" w:ascii="仿宋_GB2312" w:hAnsi="仿宋_GB2312" w:eastAsia="仿宋_GB2312" w:cs="仿宋_GB2312"/>
              <w:b/>
              <w:bCs/>
              <w:kern w:val="0"/>
              <w:sz w:val="24"/>
              <w:szCs w:val="24"/>
              <w:lang w:val="en-US" w:eastAsia="zh-CN"/>
            </w:rPr>
            <w:fldChar w:fldCharType="end"/>
          </w:r>
        </w:p>
        <w:p w14:paraId="1E922FCB">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_Toc22345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zh-TW" w:eastAsia="zh-CN"/>
            </w:rPr>
            <w:t>1</w:t>
          </w:r>
          <w:r>
            <w:rPr>
              <w:rFonts w:hint="eastAsia" w:ascii="仿宋_GB2312" w:hAnsi="仿宋_GB2312" w:eastAsia="仿宋_GB2312" w:cs="仿宋_GB2312"/>
              <w:b w:val="0"/>
              <w:bCs w:val="0"/>
              <w:kern w:val="0"/>
              <w:sz w:val="24"/>
              <w:szCs w:val="24"/>
              <w:lang w:val="en-US" w:eastAsia="zh-CN"/>
            </w:rPr>
            <w:t>3</w:t>
          </w:r>
          <w:r>
            <w:rPr>
              <w:rFonts w:hint="eastAsia" w:ascii="仿宋_GB2312" w:hAnsi="仿宋_GB2312" w:eastAsia="仿宋_GB2312" w:cs="仿宋_GB2312"/>
              <w:b w:val="0"/>
              <w:bCs w:val="0"/>
              <w:kern w:val="0"/>
              <w:sz w:val="24"/>
              <w:szCs w:val="24"/>
              <w:lang w:val="zh-TW" w:eastAsia="zh-CN"/>
            </w:rPr>
            <w:t>.1 主要结论</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_Toc22345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108</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2AF4E08B">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_Toc31457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zh-TW" w:eastAsia="zh-CN"/>
            </w:rPr>
            <w:t>1</w:t>
          </w:r>
          <w:r>
            <w:rPr>
              <w:rFonts w:hint="eastAsia" w:ascii="仿宋_GB2312" w:hAnsi="仿宋_GB2312" w:eastAsia="仿宋_GB2312" w:cs="仿宋_GB2312"/>
              <w:b w:val="0"/>
              <w:bCs w:val="0"/>
              <w:kern w:val="0"/>
              <w:sz w:val="24"/>
              <w:szCs w:val="24"/>
              <w:lang w:val="en-US" w:eastAsia="zh-CN"/>
            </w:rPr>
            <w:t>3</w:t>
          </w:r>
          <w:r>
            <w:rPr>
              <w:rFonts w:hint="eastAsia" w:ascii="仿宋_GB2312" w:hAnsi="仿宋_GB2312" w:eastAsia="仿宋_GB2312" w:cs="仿宋_GB2312"/>
              <w:b w:val="0"/>
              <w:bCs w:val="0"/>
              <w:kern w:val="0"/>
              <w:sz w:val="24"/>
              <w:szCs w:val="24"/>
              <w:lang w:val="zh-TW" w:eastAsia="zh-CN"/>
            </w:rPr>
            <w:t>.2 建议</w:t>
          </w:r>
          <w:r>
            <w:rPr>
              <w:rFonts w:hint="eastAsia" w:ascii="仿宋_GB2312" w:hAnsi="仿宋_GB2312" w:eastAsia="仿宋_GB2312" w:cs="仿宋_GB2312"/>
              <w:b w:val="0"/>
              <w:bCs w:val="0"/>
              <w:kern w:val="0"/>
              <w:sz w:val="24"/>
              <w:szCs w:val="24"/>
              <w:lang w:val="en-US" w:eastAsia="zh-CN"/>
            </w:rPr>
            <w:tab/>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PAGEREF _Toc31457 \h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109</w:t>
          </w: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val="0"/>
              <w:bCs w:val="0"/>
              <w:kern w:val="0"/>
              <w:sz w:val="24"/>
              <w:szCs w:val="24"/>
              <w:lang w:val="en-US" w:eastAsia="zh-CN"/>
            </w:rPr>
            <w:fldChar w:fldCharType="end"/>
          </w:r>
        </w:p>
        <w:p w14:paraId="5E99F3DD">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left="0" w:leftChars="0" w:firstLine="0" w:firstLineChars="0"/>
            <w:textAlignment w:val="auto"/>
            <w:rPr>
              <w:rFonts w:hint="eastAsia" w:ascii="仿宋_GB2312" w:hAnsi="仿宋_GB2312" w:eastAsia="仿宋_GB2312" w:cs="仿宋_GB2312"/>
              <w:b/>
              <w:bCs/>
              <w:kern w:val="0"/>
              <w:sz w:val="24"/>
              <w:szCs w:val="24"/>
              <w:lang w:val="en-US" w:eastAsia="zh-CN"/>
            </w:rPr>
          </w:pPr>
          <w:r>
            <w:rPr>
              <w:rFonts w:hint="eastAsia" w:ascii="仿宋_GB2312" w:hAnsi="仿宋_GB2312" w:eastAsia="仿宋_GB2312" w:cs="仿宋_GB2312"/>
              <w:b/>
              <w:bCs/>
              <w:kern w:val="0"/>
              <w:sz w:val="24"/>
              <w:szCs w:val="24"/>
              <w:lang w:val="en-US" w:eastAsia="zh-CN"/>
            </w:rPr>
            <w:fldChar w:fldCharType="begin"/>
          </w:r>
          <w:r>
            <w:rPr>
              <w:rFonts w:hint="eastAsia" w:ascii="仿宋_GB2312" w:hAnsi="仿宋_GB2312" w:eastAsia="仿宋_GB2312" w:cs="仿宋_GB2312"/>
              <w:b/>
              <w:bCs/>
              <w:kern w:val="0"/>
              <w:sz w:val="24"/>
              <w:szCs w:val="24"/>
              <w:lang w:val="en-US" w:eastAsia="zh-CN"/>
            </w:rPr>
            <w:instrText xml:space="preserve"> HYPERLINK \l _Toc11437 </w:instrText>
          </w:r>
          <w:r>
            <w:rPr>
              <w:rFonts w:hint="eastAsia" w:ascii="仿宋_GB2312" w:hAnsi="仿宋_GB2312" w:eastAsia="仿宋_GB2312" w:cs="仿宋_GB2312"/>
              <w:b/>
              <w:bCs/>
              <w:kern w:val="0"/>
              <w:sz w:val="24"/>
              <w:szCs w:val="24"/>
              <w:lang w:val="en-US" w:eastAsia="zh-CN"/>
            </w:rPr>
            <w:fldChar w:fldCharType="separate"/>
          </w:r>
          <w:r>
            <w:rPr>
              <w:rFonts w:hint="eastAsia" w:ascii="仿宋_GB2312" w:hAnsi="仿宋_GB2312" w:eastAsia="仿宋_GB2312" w:cs="仿宋_GB2312"/>
              <w:b/>
              <w:bCs/>
              <w:kern w:val="0"/>
              <w:sz w:val="24"/>
              <w:szCs w:val="24"/>
              <w:lang w:val="zh-CN" w:eastAsia="zh-CN"/>
            </w:rPr>
            <w:t>附表</w:t>
          </w:r>
          <w:r>
            <w:rPr>
              <w:rFonts w:hint="eastAsia" w:ascii="仿宋_GB2312" w:hAnsi="仿宋_GB2312" w:eastAsia="仿宋_GB2312" w:cs="仿宋_GB2312"/>
              <w:b/>
              <w:bCs/>
              <w:kern w:val="0"/>
              <w:sz w:val="24"/>
              <w:szCs w:val="24"/>
              <w:lang w:val="en-US" w:eastAsia="zh-CN"/>
            </w:rPr>
            <w:fldChar w:fldCharType="end"/>
          </w:r>
        </w:p>
        <w:p w14:paraId="5EA906C0">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_Toc28905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1 营造林小班现状调查一览表</w:t>
          </w:r>
          <w:r>
            <w:rPr>
              <w:rFonts w:hint="eastAsia" w:ascii="仿宋_GB2312" w:hAnsi="仿宋_GB2312" w:eastAsia="仿宋_GB2312" w:cs="仿宋_GB2312"/>
              <w:b w:val="0"/>
              <w:bCs w:val="0"/>
              <w:kern w:val="0"/>
              <w:sz w:val="24"/>
              <w:szCs w:val="24"/>
              <w:lang w:val="en-US" w:eastAsia="zh-CN"/>
            </w:rPr>
            <w:fldChar w:fldCharType="end"/>
          </w:r>
        </w:p>
        <w:p w14:paraId="716DB2F4">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_Toc2639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2 营造林小班作业设计一览表</w:t>
          </w:r>
          <w:r>
            <w:rPr>
              <w:rFonts w:hint="eastAsia" w:ascii="仿宋_GB2312" w:hAnsi="仿宋_GB2312" w:eastAsia="仿宋_GB2312" w:cs="仿宋_GB2312"/>
              <w:b w:val="0"/>
              <w:bCs w:val="0"/>
              <w:kern w:val="0"/>
              <w:sz w:val="24"/>
              <w:szCs w:val="24"/>
              <w:lang w:val="en-US" w:eastAsia="zh-CN"/>
            </w:rPr>
            <w:fldChar w:fldCharType="end"/>
          </w:r>
        </w:p>
        <w:p w14:paraId="764C8641">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_Toc10941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3 营造林小班物资及工程量明细表</w:t>
          </w:r>
          <w:r>
            <w:rPr>
              <w:rFonts w:hint="eastAsia" w:ascii="仿宋_GB2312" w:hAnsi="仿宋_GB2312" w:eastAsia="仿宋_GB2312" w:cs="仿宋_GB2312"/>
              <w:b w:val="0"/>
              <w:bCs w:val="0"/>
              <w:kern w:val="0"/>
              <w:sz w:val="24"/>
              <w:szCs w:val="24"/>
              <w:lang w:val="en-US" w:eastAsia="zh-CN"/>
            </w:rPr>
            <w:fldChar w:fldCharType="end"/>
          </w:r>
        </w:p>
        <w:p w14:paraId="11BACB59">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_Toc26309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4 营造林小班单位消耗量定额明细表</w:t>
          </w:r>
          <w:r>
            <w:rPr>
              <w:rFonts w:hint="eastAsia" w:ascii="仿宋_GB2312" w:hAnsi="仿宋_GB2312" w:eastAsia="仿宋_GB2312" w:cs="仿宋_GB2312"/>
              <w:b w:val="0"/>
              <w:bCs w:val="0"/>
              <w:kern w:val="0"/>
              <w:sz w:val="24"/>
              <w:szCs w:val="24"/>
              <w:lang w:val="en-US" w:eastAsia="zh-CN"/>
            </w:rPr>
            <w:fldChar w:fldCharType="end"/>
          </w:r>
        </w:p>
        <w:p w14:paraId="0149EAF2">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_Toc26309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5 营造林小班用工（机械）明细表</w:t>
          </w:r>
          <w:r>
            <w:rPr>
              <w:rFonts w:hint="eastAsia" w:ascii="仿宋_GB2312" w:hAnsi="仿宋_GB2312" w:eastAsia="仿宋_GB2312" w:cs="仿宋_GB2312"/>
              <w:b w:val="0"/>
              <w:bCs w:val="0"/>
              <w:kern w:val="0"/>
              <w:sz w:val="24"/>
              <w:szCs w:val="24"/>
              <w:lang w:val="en-US" w:eastAsia="zh-CN"/>
            </w:rPr>
            <w:fldChar w:fldCharType="end"/>
          </w:r>
        </w:p>
        <w:p w14:paraId="27D472B7">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_Toc28963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6 营造林小班工程费概算明细表</w:t>
          </w:r>
          <w:r>
            <w:rPr>
              <w:rFonts w:hint="eastAsia" w:ascii="仿宋_GB2312" w:hAnsi="仿宋_GB2312" w:eastAsia="仿宋_GB2312" w:cs="仿宋_GB2312"/>
              <w:b w:val="0"/>
              <w:bCs w:val="0"/>
              <w:kern w:val="0"/>
              <w:sz w:val="24"/>
              <w:szCs w:val="24"/>
              <w:lang w:val="en-US" w:eastAsia="zh-CN"/>
            </w:rPr>
            <w:fldChar w:fldCharType="end"/>
          </w:r>
        </w:p>
        <w:p w14:paraId="1A6F7432">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t>7</w:t>
          </w:r>
          <w:r>
            <w:rPr>
              <w:rFonts w:hint="eastAsia" w:ascii="仿宋_GB2312" w:hAnsi="仿宋_GB2312" w:eastAsia="仿宋_GB2312" w:cs="仿宋_GB2312"/>
              <w:b w:val="0"/>
              <w:bCs w:val="0"/>
              <w:kern w:val="0"/>
              <w:sz w:val="24"/>
              <w:szCs w:val="24"/>
              <w:lang w:val="en-US" w:eastAsia="zh-CN"/>
            </w:rPr>
            <w:fldChar w:fldCharType="begin"/>
          </w:r>
          <w:r>
            <w:rPr>
              <w:rFonts w:hint="eastAsia" w:ascii="仿宋_GB2312" w:hAnsi="仿宋_GB2312" w:eastAsia="仿宋_GB2312" w:cs="仿宋_GB2312"/>
              <w:b w:val="0"/>
              <w:bCs w:val="0"/>
              <w:kern w:val="0"/>
              <w:sz w:val="24"/>
              <w:szCs w:val="24"/>
              <w:lang w:val="en-US" w:eastAsia="zh-CN"/>
            </w:rPr>
            <w:instrText xml:space="preserve"> HYPERLINK \l _Toc28963 </w:instrText>
          </w:r>
          <w:r>
            <w:rPr>
              <w:rFonts w:hint="eastAsia" w:ascii="仿宋_GB2312" w:hAnsi="仿宋_GB2312" w:eastAsia="仿宋_GB2312" w:cs="仿宋_GB2312"/>
              <w:b w:val="0"/>
              <w:bCs w:val="0"/>
              <w:kern w:val="0"/>
              <w:sz w:val="24"/>
              <w:szCs w:val="24"/>
              <w:lang w:val="en-US" w:eastAsia="zh-CN"/>
            </w:rPr>
            <w:fldChar w:fldCharType="separate"/>
          </w:r>
          <w:r>
            <w:rPr>
              <w:rFonts w:hint="eastAsia" w:ascii="仿宋_GB2312" w:hAnsi="仿宋_GB2312" w:eastAsia="仿宋_GB2312" w:cs="仿宋_GB2312"/>
              <w:b w:val="0"/>
              <w:bCs w:val="0"/>
              <w:kern w:val="0"/>
              <w:sz w:val="24"/>
              <w:szCs w:val="24"/>
              <w:lang w:val="en-US" w:eastAsia="zh-CN"/>
            </w:rPr>
            <w:t xml:space="preserve"> 营造林小班投资概算汇总表</w:t>
          </w:r>
          <w:r>
            <w:rPr>
              <w:rFonts w:hint="eastAsia" w:ascii="仿宋_GB2312" w:hAnsi="仿宋_GB2312" w:eastAsia="仿宋_GB2312" w:cs="仿宋_GB2312"/>
              <w:b w:val="0"/>
              <w:bCs w:val="0"/>
              <w:kern w:val="0"/>
              <w:sz w:val="24"/>
              <w:szCs w:val="24"/>
              <w:lang w:val="en-US" w:eastAsia="zh-CN"/>
            </w:rPr>
            <w:fldChar w:fldCharType="end"/>
          </w:r>
        </w:p>
        <w:p w14:paraId="52B84C56">
          <w:pPr>
            <w:pStyle w:val="12"/>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bCs/>
              <w:sz w:val="24"/>
              <w:szCs w:val="24"/>
              <w:lang w:val="en-US" w:eastAsia="zh-CN"/>
            </w:rPr>
          </w:pPr>
          <w:r>
            <w:rPr>
              <w:rFonts w:hint="eastAsia" w:ascii="仿宋_GB2312" w:hAnsi="仿宋_GB2312" w:eastAsia="仿宋_GB2312" w:cs="仿宋_GB2312"/>
              <w:b w:val="0"/>
              <w:bCs w:val="0"/>
              <w:kern w:val="0"/>
              <w:sz w:val="24"/>
              <w:szCs w:val="24"/>
              <w:lang w:val="en-US" w:eastAsia="zh-CN"/>
            </w:rPr>
            <w:fldChar w:fldCharType="end"/>
          </w:r>
          <w:r>
            <w:rPr>
              <w:rFonts w:hint="eastAsia" w:ascii="仿宋_GB2312" w:hAnsi="仿宋_GB2312" w:eastAsia="仿宋_GB2312" w:cs="仿宋_GB2312"/>
              <w:b/>
              <w:bCs/>
              <w:sz w:val="24"/>
              <w:szCs w:val="24"/>
              <w:lang w:val="en-US" w:eastAsia="zh-CN"/>
            </w:rPr>
            <w:t>附件</w:t>
          </w:r>
        </w:p>
        <w:p w14:paraId="38A9B4AA">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default"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t>1 常山县油茶产业扩面提质示范建设项目批复文件</w:t>
          </w:r>
        </w:p>
        <w:p w14:paraId="40ACC23C">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default"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t>2 常山县人民政府办公室关于印发《常山县属国企参与实施常山县油茶产业扩面提质示范建设项目指导意见（试行）》的通知（常政办发〔2023〕83 号）</w:t>
          </w:r>
        </w:p>
        <w:p w14:paraId="0BC98A6A">
          <w:pPr>
            <w:pStyle w:val="12"/>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bCs/>
              <w:sz w:val="24"/>
              <w:szCs w:val="24"/>
              <w:lang w:val="en-US" w:eastAsia="zh-CN"/>
            </w:rPr>
          </w:pPr>
          <w:r>
            <w:rPr>
              <w:rFonts w:hint="eastAsia" w:ascii="仿宋_GB2312" w:hAnsi="仿宋_GB2312" w:eastAsia="仿宋_GB2312" w:cs="仿宋_GB2312"/>
              <w:b/>
              <w:bCs/>
              <w:sz w:val="24"/>
              <w:szCs w:val="24"/>
              <w:lang w:val="en-US" w:eastAsia="zh-CN"/>
            </w:rPr>
            <w:t>附图</w:t>
          </w:r>
        </w:p>
        <w:p w14:paraId="610CD64B">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default"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t>1 地理位置图</w:t>
          </w:r>
        </w:p>
        <w:p w14:paraId="571A054A">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default"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t>2 营造林小班分布图</w:t>
          </w:r>
        </w:p>
        <w:p w14:paraId="71EB1AD0">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default"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t>3 总体布局图</w:t>
          </w:r>
        </w:p>
        <w:p w14:paraId="48B389E4">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default"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t>4 采伐作业示意图</w:t>
          </w:r>
        </w:p>
        <w:p w14:paraId="65E16A0C">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t>5 营造林作业设计图</w:t>
          </w:r>
        </w:p>
        <w:p w14:paraId="2F480BB8">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ascii="仿宋_GB2312" w:hAnsi="仿宋_GB2312" w:eastAsia="仿宋_GB2312" w:cs="仿宋_GB2312"/>
              <w:b w:val="0"/>
              <w:bCs w:val="0"/>
              <w:kern w:val="0"/>
              <w:sz w:val="24"/>
              <w:szCs w:val="24"/>
              <w:lang w:val="en-US" w:eastAsia="zh-CN"/>
            </w:rPr>
          </w:pPr>
          <w:r>
            <w:rPr>
              <w:rFonts w:hint="eastAsia" w:ascii="仿宋_GB2312" w:hAnsi="仿宋_GB2312" w:eastAsia="仿宋_GB2312" w:cs="仿宋_GB2312"/>
              <w:b w:val="0"/>
              <w:bCs w:val="0"/>
              <w:kern w:val="0"/>
              <w:sz w:val="24"/>
              <w:szCs w:val="24"/>
              <w:lang w:val="en-US" w:eastAsia="zh-CN"/>
            </w:rPr>
            <w:t>6 水肥一体化设计图</w:t>
          </w:r>
        </w:p>
        <w:p w14:paraId="12EDF562">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pPr>
          <w:r>
            <w:rPr>
              <w:rFonts w:hint="eastAsia" w:ascii="仿宋_GB2312" w:hAnsi="仿宋_GB2312" w:eastAsia="仿宋_GB2312" w:cs="仿宋_GB2312"/>
              <w:b w:val="0"/>
              <w:bCs w:val="0"/>
              <w:kern w:val="0"/>
              <w:sz w:val="24"/>
              <w:szCs w:val="24"/>
              <w:lang w:val="en-US" w:eastAsia="zh-CN"/>
            </w:rPr>
            <w:t>7 作业道路设计图</w:t>
          </w:r>
        </w:p>
      </w:sdtContent>
    </w:sdt>
    <w:p w14:paraId="1E7E1A33">
      <w:pPr>
        <w:pStyle w:val="12"/>
        <w:keepNext w:val="0"/>
        <w:keepLines w:val="0"/>
        <w:pageBreakBefore w:val="0"/>
        <w:widowControl w:val="0"/>
        <w:tabs>
          <w:tab w:val="right" w:leader="dot" w:pos="8306"/>
        </w:tabs>
        <w:kinsoku/>
        <w:wordWrap/>
        <w:overflowPunct/>
        <w:topLinePunct w:val="0"/>
        <w:autoSpaceDE/>
        <w:autoSpaceDN/>
        <w:bidi w:val="0"/>
        <w:adjustRightInd/>
        <w:snapToGrid/>
        <w:spacing w:after="0" w:line="430" w:lineRule="exact"/>
        <w:ind w:firstLine="0" w:firstLineChars="0"/>
        <w:textAlignment w:val="auto"/>
        <w:rPr>
          <w:rFonts w:hint="eastAsia"/>
          <w:b/>
          <w:bCs/>
          <w:sz w:val="28"/>
          <w:szCs w:val="28"/>
        </w:rPr>
        <w:sectPr>
          <w:headerReference r:id="rId9" w:type="default"/>
          <w:headerReference r:id="rId10" w:type="even"/>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b/>
          <w:bCs/>
          <w:sz w:val="28"/>
          <w:szCs w:val="28"/>
        </w:rPr>
        <w:br w:type="page"/>
      </w:r>
    </w:p>
    <w:p w14:paraId="647AA350">
      <w:pPr>
        <w:pStyle w:val="2"/>
        <w:pageBreakBefore w:val="0"/>
        <w:widowControl w:val="0"/>
        <w:kinsoku/>
        <w:wordWrap/>
        <w:overflowPunct/>
        <w:topLinePunct w:val="0"/>
        <w:bidi w:val="0"/>
        <w:snapToGrid/>
        <w:spacing w:before="326" w:beforeLines="100" w:after="326" w:afterLines="100" w:line="360" w:lineRule="auto"/>
        <w:ind w:right="0" w:rightChars="0" w:firstLine="0" w:firstLineChars="0"/>
        <w:jc w:val="center"/>
        <w:rPr>
          <w:rFonts w:hint="eastAsia" w:ascii="黑体" w:hAnsi="黑体" w:eastAsia="黑体" w:cs="Times New Roman"/>
          <w:b/>
          <w:bCs w:val="0"/>
          <w:sz w:val="36"/>
          <w:szCs w:val="36"/>
          <w:lang w:eastAsia="zh-CN"/>
        </w:rPr>
      </w:pPr>
      <w:bookmarkStart w:id="138" w:name="_Toc6189"/>
      <w:bookmarkStart w:id="139" w:name="_Toc24927"/>
      <w:bookmarkStart w:id="140" w:name="_Toc14534"/>
      <w:r>
        <w:rPr>
          <w:rFonts w:hint="eastAsia" w:ascii="黑体" w:hAnsi="黑体" w:eastAsia="黑体" w:cs="Times New Roman"/>
          <w:b/>
          <w:bCs w:val="0"/>
          <w:sz w:val="36"/>
          <w:szCs w:val="36"/>
          <w:lang w:val="en-US" w:eastAsia="zh-CN"/>
        </w:rPr>
        <w:t xml:space="preserve">第一章 </w:t>
      </w:r>
      <w:r>
        <w:rPr>
          <w:rFonts w:hint="eastAsia" w:ascii="黑体" w:hAnsi="黑体" w:eastAsia="黑体" w:cs="Times New Roman"/>
          <w:b/>
          <w:bCs w:val="0"/>
          <w:sz w:val="36"/>
          <w:szCs w:val="36"/>
          <w:lang w:eastAsia="zh-CN"/>
        </w:rPr>
        <w:t>总论</w:t>
      </w:r>
      <w:bookmarkEnd w:id="138"/>
      <w:bookmarkEnd w:id="139"/>
      <w:bookmarkEnd w:id="140"/>
    </w:p>
    <w:p w14:paraId="0D743E39">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eastAsia="zh-CN"/>
        </w:rPr>
      </w:pPr>
      <w:bookmarkStart w:id="141" w:name="_Toc27279"/>
      <w:bookmarkStart w:id="142" w:name="_Toc4146"/>
      <w:bookmarkStart w:id="143" w:name="_Toc7397"/>
      <w:r>
        <w:rPr>
          <w:rFonts w:hint="eastAsia" w:ascii="黑体" w:hAnsi="黑体" w:eastAsia="黑体" w:cs="Times New Roman"/>
          <w:bCs w:val="0"/>
          <w:kern w:val="0"/>
          <w:sz w:val="32"/>
          <w:szCs w:val="32"/>
          <w:lang w:val="en-US" w:eastAsia="zh-CN"/>
        </w:rPr>
        <w:t>1.1</w:t>
      </w:r>
      <w:r>
        <w:rPr>
          <w:rFonts w:hint="eastAsia" w:ascii="黑体" w:hAnsi="黑体" w:eastAsia="黑体" w:cs="Times New Roman"/>
          <w:bCs w:val="0"/>
          <w:kern w:val="0"/>
          <w:sz w:val="32"/>
          <w:szCs w:val="32"/>
          <w:lang w:eastAsia="zh-CN"/>
        </w:rPr>
        <w:t>项目提要</w:t>
      </w:r>
      <w:bookmarkEnd w:id="141"/>
      <w:bookmarkEnd w:id="142"/>
      <w:bookmarkEnd w:id="143"/>
    </w:p>
    <w:p w14:paraId="5629D13E">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eastAsia="zh-CN"/>
        </w:rPr>
      </w:pPr>
      <w:r>
        <w:rPr>
          <w:rFonts w:hint="eastAsia" w:ascii="楷体_GB2312" w:hAnsi="宋体" w:eastAsia="楷体_GB2312" w:cs="宋体"/>
          <w:b/>
          <w:bCs/>
          <w:kern w:val="0"/>
          <w:sz w:val="30"/>
          <w:szCs w:val="30"/>
          <w:lang w:val="en-US" w:eastAsia="zh-CN"/>
        </w:rPr>
        <w:t>1.1.1</w:t>
      </w:r>
      <w:r>
        <w:rPr>
          <w:rFonts w:hint="eastAsia" w:ascii="楷体_GB2312" w:hAnsi="宋体" w:eastAsia="楷体_GB2312" w:cs="宋体"/>
          <w:b/>
          <w:bCs/>
          <w:kern w:val="0"/>
          <w:sz w:val="30"/>
          <w:szCs w:val="30"/>
          <w:lang w:eastAsia="zh-CN"/>
        </w:rPr>
        <w:t>项目名称</w:t>
      </w:r>
    </w:p>
    <w:p w14:paraId="2EC1083B">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常山县油茶产业扩面提质示范建设项目（第三批）白石镇片区</w:t>
      </w:r>
    </w:p>
    <w:p w14:paraId="112BBA41">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1.1.2项目建设地点</w:t>
      </w:r>
    </w:p>
    <w:p w14:paraId="06D739ED">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常山县天马街道、白石镇、青石镇、球川镇、何家乡、新昌乡、东案乡、芳村镇8个乡（镇、街道），其中第三批涉及天马街道、球川镇、白石镇、新昌乡、芳村镇5个片区，本项目白石镇片区涉及</w:t>
      </w:r>
      <w:r>
        <w:rPr>
          <w:rFonts w:hint="eastAsia" w:ascii="Times New Roman" w:hAnsi="Times New Roman" w:eastAsia="仿宋_GB2312" w:cs="Times New Roman"/>
          <w:bCs/>
          <w:sz w:val="28"/>
          <w:szCs w:val="28"/>
          <w:lang w:eastAsia="zh-CN"/>
        </w:rPr>
        <w:t>十八里村、新塘岭村</w:t>
      </w:r>
      <w:r>
        <w:rPr>
          <w:rFonts w:hint="eastAsia" w:ascii="Times New Roman" w:hAnsi="Times New Roman" w:eastAsia="仿宋_GB2312" w:cs="Times New Roman"/>
          <w:bCs/>
          <w:kern w:val="0"/>
          <w:sz w:val="28"/>
          <w:szCs w:val="28"/>
          <w:lang w:val="en-US" w:eastAsia="zh-CN"/>
        </w:rPr>
        <w:t>3个村。</w:t>
      </w:r>
    </w:p>
    <w:p w14:paraId="275B3C22">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1.1.3项目业主单位</w:t>
      </w:r>
    </w:p>
    <w:p w14:paraId="46C3CEFD">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常山县油茶产业发展中心</w:t>
      </w:r>
    </w:p>
    <w:p w14:paraId="6D458B3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常山县油茶产业发展中心是油茶相关产业的专门负责机构，加挂常山县油茶公园保护中心、浙江省常山油茶研究所牌子，负责全县油茶资源调查、产业发展政策制定等工作；负责国家油茶公园年度规划编制、观光休闲项目规划和投资建设等工作；负责全县油茶技术推广等工作；从事研究油茶等木本油料树种培育与利用技术；拟定县级木本油料（油茶）相关技术标准化规程；负责特色林木良种繁育基地、种质资源库及林业保障性苗圃等建设工作；开展智能化、数字化油茶产业发展等工作。</w:t>
      </w:r>
    </w:p>
    <w:p w14:paraId="0395ABA6">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1.1.4项目建设单位法定代表人姓名</w:t>
      </w:r>
    </w:p>
    <w:p w14:paraId="333FB204">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王昆喜</w:t>
      </w:r>
    </w:p>
    <w:p w14:paraId="21428FFB">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1.1.5项目行业主管</w:t>
      </w:r>
    </w:p>
    <w:p w14:paraId="5D5B9FEB">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常山县林业水利局</w:t>
      </w:r>
    </w:p>
    <w:p w14:paraId="012FFA7C">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常山县林业水利局贯彻落实党中央、省委、市委和县委关于林业和水利工作的方针政策和决策部署，在履行职责过程中坚持和加强党对林业和水利工作的集中统一领导。主要负责林业及其生态保护修复的监督管理；提出林业预算内投资、水利固定资产投资、林业水利资金的安排建议并组织指导实施；组织林业生态保护修复和国土绿化工作；负责林业种苗监督管理；负责森林、湿地资源的监督管理；负责陆生野生动植物资源和各类自然保护地的监督管理；负责推进林业改革相关工作；拟订林业资源优化配置及利用政策；指导监督水利工程建设与运行管理；负责生活、生产经营和生态环境用水的统筹和保障、水土保持、节约用水工作；指导水利设施、水域及其岸线的管理、保护与综合利用；指导农村水利、水文工作；指导全县森林公安、水政监察和林业水利行政执法工作；负责落实综合防灾减灾规划相关要求，组织编制森林火灾、洪水干旱灾害防治规划和防护标准并指导实施；开展林业水利科技、教育和对外交流工作。</w:t>
      </w:r>
    </w:p>
    <w:p w14:paraId="2A1D2D07">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1.1.6项目性质</w:t>
      </w:r>
    </w:p>
    <w:p w14:paraId="7A36E604">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项目性质为新建、改建，具体如下：</w:t>
      </w:r>
    </w:p>
    <w:p w14:paraId="3020512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（1）新建油茶774.9亩，均位于白石镇</w:t>
      </w:r>
      <w:r>
        <w:rPr>
          <w:rFonts w:hint="eastAsia" w:ascii="Times New Roman" w:hAnsi="Times New Roman" w:eastAsia="仿宋_GB2312" w:cs="Times New Roman"/>
          <w:bCs/>
          <w:sz w:val="28"/>
          <w:szCs w:val="28"/>
          <w:lang w:eastAsia="zh-CN"/>
        </w:rPr>
        <w:t>十八里村、新塘岭村</w:t>
      </w:r>
      <w:r>
        <w:rPr>
          <w:rFonts w:hint="eastAsia" w:ascii="Times New Roman" w:hAnsi="Times New Roman" w:eastAsia="仿宋_GB2312" w:cs="Times New Roman"/>
          <w:bCs/>
          <w:kern w:val="0"/>
          <w:sz w:val="28"/>
          <w:szCs w:val="28"/>
          <w:lang w:val="en-US" w:eastAsia="zh-CN"/>
        </w:rPr>
        <w:t>3个村。</w:t>
      </w:r>
    </w:p>
    <w:p w14:paraId="05AA8DA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（2）针对本项目所有营造林地块新建水肥一体化灌溉面积774.9亩，主要内容包括首部系统、水肥一体化设备、高位PE桶及输水管道等。</w:t>
      </w:r>
    </w:p>
    <w:p w14:paraId="0ED98E5D">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（3）针对本项目所有营造林地块新建作业道宽1米（土路）作业道路3381米，宽3米（土路，含路肩）作业道路550米。</w:t>
      </w:r>
    </w:p>
    <w:p w14:paraId="619DCB18">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1.1.7项目建设目标</w:t>
      </w:r>
    </w:p>
    <w:p w14:paraId="4847C873">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完成油茶营造林面积774.9亩，配套水肥一体化、作业道路等基础设施，提高油茶规模集约化和高效培育水平，打造优质高产高标准油茶产业基地和全国示范样板，为常山县油茶产业高质量发展提供稳定基础。以高质量油茶一产带动油茶产业融合发展，形成一二三产联动发展，助力浙江高质量发展建设共同富裕示范区和乡村振兴。</w:t>
      </w:r>
    </w:p>
    <w:p w14:paraId="2166349E">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1.1.8项目主要建设内容及规模</w:t>
      </w:r>
    </w:p>
    <w:p w14:paraId="0FDAD11E">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（1）高标准油茶新造</w:t>
      </w:r>
    </w:p>
    <w:p w14:paraId="09D76D7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新造油茶774.9亩，具体包括地上附属物采伐清理、造林前整地、挖穴、施肥、栽植及抚育管护等。其中十八里村118.3亩、新塘岭村656.6亩。</w:t>
      </w:r>
    </w:p>
    <w:p w14:paraId="53B8FFB7">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（2）基础配套设施</w:t>
      </w:r>
    </w:p>
    <w:p w14:paraId="5A820A1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①水肥一体化设施</w:t>
      </w:r>
    </w:p>
    <w:p w14:paraId="03D175F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项目区域配套水肥一体化设施，水肥系统1套，高位PE桶17座，灌溉面积774.9亩。</w:t>
      </w:r>
    </w:p>
    <w:p w14:paraId="71213E9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②作业道路</w:t>
      </w:r>
    </w:p>
    <w:p w14:paraId="481DCC0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项目区内修建宽1米土路作业道路3381米，宽3米（含路肩）土路作业道路550米，满足施工及后期管护需要。</w:t>
      </w:r>
    </w:p>
    <w:p w14:paraId="3A178DD9">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1.1.9项目建设期及建设进度安排</w:t>
      </w:r>
    </w:p>
    <w:p w14:paraId="580F682E">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项目（第三批）白石镇片区建设期1年，高标准油茶新造施工后抚育管护4年。</w:t>
      </w:r>
    </w:p>
    <w:p w14:paraId="01169A54">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1.1.10项目概算与资金来源</w:t>
      </w:r>
    </w:p>
    <w:p w14:paraId="699F55D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白石镇片区概算668.87万元，其中工程费546.61万元，林地流转费58.12万元，其他费用57.52万元，预备费6.62万元。工程费用中营造林工程432.56万元，水肥一体化工程98.77万元，水肥一体化电源及电费8.56万元，作业道路工程6.72万元。</w:t>
      </w:r>
    </w:p>
    <w:p w14:paraId="57DD4C1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根据《浙江省衢州市油茶产业发展示范奖补项目实施方案》，中央财政补助主要用于高标准油茶林新造、低产低效林改造和水肥一体化设施，新造油茶补助0.2948万元/亩，低产低效油茶林改造补助0.1828万元/亩，水肥一体化补助0.1100万元/亩；省级财政补助主要用于高标准油茶林新造、低产低效油茶林改造，新造油茶补助0.1000万元/亩，低产低效油茶林改造补助0.0600万元/亩；自筹资金用于营造林和水肥一体化不足部分、作业道路等配套工程以及林地流转租赁、工程建设其他费和工程预备费等。</w:t>
      </w:r>
    </w:p>
    <w:p w14:paraId="3979A0D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项目（第三批）白石镇片区投资中央财政补助313.68万元，省级财政补助77.49万元，自筹资金277.70万元。</w:t>
      </w:r>
    </w:p>
    <w:p w14:paraId="5FA664BB">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144" w:name="_Toc30329"/>
      <w:bookmarkStart w:id="145" w:name="_Toc15720"/>
      <w:bookmarkStart w:id="146" w:name="_Toc25718"/>
      <w:r>
        <w:rPr>
          <w:rFonts w:hint="eastAsia" w:ascii="黑体" w:hAnsi="黑体" w:eastAsia="黑体" w:cs="Times New Roman"/>
          <w:bCs w:val="0"/>
          <w:kern w:val="0"/>
          <w:sz w:val="32"/>
          <w:szCs w:val="32"/>
          <w:lang w:val="en-US" w:eastAsia="zh-CN"/>
        </w:rPr>
        <w:t>1.2</w:t>
      </w:r>
      <w:r>
        <w:rPr>
          <w:rFonts w:hint="eastAsia" w:ascii="黑体" w:hAnsi="黑体" w:cs="Times New Roman"/>
          <w:bCs w:val="0"/>
          <w:kern w:val="0"/>
          <w:sz w:val="32"/>
          <w:szCs w:val="32"/>
          <w:lang w:val="en-US" w:eastAsia="zh-CN"/>
        </w:rPr>
        <w:t>编制</w:t>
      </w:r>
      <w:r>
        <w:rPr>
          <w:rFonts w:hint="eastAsia" w:ascii="黑体" w:hAnsi="黑体" w:eastAsia="黑体" w:cs="Times New Roman"/>
          <w:bCs w:val="0"/>
          <w:kern w:val="0"/>
          <w:sz w:val="32"/>
          <w:szCs w:val="32"/>
          <w:lang w:val="en-US" w:eastAsia="zh-CN"/>
        </w:rPr>
        <w:t>依据</w:t>
      </w:r>
      <w:bookmarkEnd w:id="144"/>
      <w:bookmarkEnd w:id="145"/>
      <w:bookmarkEnd w:id="146"/>
    </w:p>
    <w:p w14:paraId="07104694">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1.2.1 法律法规</w:t>
      </w:r>
    </w:p>
    <w:p w14:paraId="2A5914B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—《中华人民共和国水土保持法》（2010年）；</w:t>
      </w:r>
    </w:p>
    <w:p w14:paraId="287814F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—《中华人民共和国环境保护法》（2014年）；</w:t>
      </w:r>
    </w:p>
    <w:p w14:paraId="5582301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—《中华人民共和国环境影响评价法》（2018年）；</w:t>
      </w:r>
    </w:p>
    <w:p w14:paraId="41FBA9F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—《中华人民共和国森林法》（2019年）；</w:t>
      </w:r>
    </w:p>
    <w:p w14:paraId="0804A16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—《中华人民共和国土地管理法》（2019年）；</w:t>
      </w:r>
    </w:p>
    <w:p w14:paraId="0023BF1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—《中华人民共和国森林法实施条例》（2018年）；</w:t>
      </w:r>
    </w:p>
    <w:p w14:paraId="4201B52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—《森林采伐更新管理办法》（2011年）；</w:t>
      </w:r>
    </w:p>
    <w:p w14:paraId="1FD367C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—《浙江省公益林和森林公园条例》（2018年）；</w:t>
      </w:r>
    </w:p>
    <w:p w14:paraId="56E93A3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—《浙江省林地管理办法》（2014年）。</w:t>
      </w:r>
    </w:p>
    <w:p w14:paraId="30F187DD">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1.2.2 政策文件</w:t>
      </w:r>
    </w:p>
    <w:p w14:paraId="17DF479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—《中共中央国务院关于加快推进生态文明建设的意见》（中发〔2015〕12号）；</w:t>
      </w:r>
    </w:p>
    <w:p w14:paraId="1A90590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—《国务院办公厅关于坚决制止耕地“非农化”行为的通知》（国办发明电〔2020〕24号）；</w:t>
      </w:r>
    </w:p>
    <w:p w14:paraId="4CC5178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—《国务院办公厅关于防止耕地“非粮化”稳定粮食生产的意见》（国办发〔2020〕44号）；</w:t>
      </w:r>
    </w:p>
    <w:p w14:paraId="21EE42B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—《国务院办公厅关于科学绿化的指导意见》（国办发〔2021〕19号）；</w:t>
      </w:r>
    </w:p>
    <w:p w14:paraId="4FF0B76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—《国家林业和草原局关于印发修订后的〈国有林场管理办法〉的通知》（林场规〔2021〕6号）；</w:t>
      </w:r>
    </w:p>
    <w:p w14:paraId="1D97299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—《国家林业和草原局国家发展和改革委员会财政部关于印发〈加快油茶产业发展三年行动方案（2023-2025年）〉的通知》（林改发〔2022〕130号）；</w:t>
      </w:r>
    </w:p>
    <w:p w14:paraId="52F31ED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—《财政部 国家林草局关于印发〈林业草原改革发展资金管理办法〉的通知》（财资环〔2022〕171号）；</w:t>
      </w:r>
    </w:p>
    <w:p w14:paraId="7B7E094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—《自然资源部国家林业和草原局关于保障油茶生产用地的通知》（自然资发〔2022〕99号）；</w:t>
      </w:r>
    </w:p>
    <w:p w14:paraId="37D462B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—《全国油茶产业发展规划（2009-2020年）》（国家林草局印发）；</w:t>
      </w:r>
    </w:p>
    <w:p w14:paraId="0EB29C8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—《林草产业发展规划（2021-2025年）》（国家林草局印发）；</w:t>
      </w:r>
    </w:p>
    <w:p w14:paraId="7700F80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—《关于实施中央财政油茶产业发展奖补政策的通知》（财办资环〔2023〕22号）；</w:t>
      </w:r>
    </w:p>
    <w:p w14:paraId="243772D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—《浙江省林权流转和抵押管理办法》（2011年12月16日浙江省人民政府令第292号发布）；</w:t>
      </w:r>
    </w:p>
    <w:p w14:paraId="54DA7A3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—浙江省人民政府办公厅关于大力推进林业综合改革的实施意见（浙政办发〔2018〕29号）；</w:t>
      </w:r>
    </w:p>
    <w:p w14:paraId="550FE8D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—《浙江省林业局关于印发〈浙江省省级公益林变更调整管理办法〉的通知》（浙林资〔2018〕98号）；</w:t>
      </w:r>
    </w:p>
    <w:p w14:paraId="33690AA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—《浙江省林业局关于印发〈浙江省林地经营权证管理办法〉的通知》（浙林改〔2019〕87号）；</w:t>
      </w:r>
    </w:p>
    <w:p w14:paraId="6D4A97D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—中共浙江省委办公厅浙江省人民政府办公厅《关于全面推行林长制的实施意见》（厅字〔2021〕16号）；</w:t>
      </w:r>
    </w:p>
    <w:p w14:paraId="7EC95C0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—《省发展改革委省林业局关于印发〈浙江省林业发展“十四五”规划〉的通知》（浙发改规划〔2021〕136号）；</w:t>
      </w:r>
    </w:p>
    <w:p w14:paraId="3CA3CB1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—《浙江省人民政府办公厅关于科学绿化的实施意见》（浙政办发〔2021〕81号）；</w:t>
      </w:r>
    </w:p>
    <w:p w14:paraId="6D82CE2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—《关于印发〈浙江省林区道路建设中长期规划（2021-2030）〉的通知》（浙林规〔2021〕22号）；</w:t>
      </w:r>
    </w:p>
    <w:p w14:paraId="347A23B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—省发展改革委等12部门关于印发《关于科学利用林地资源促进木本粮油和林下经济高质量发展的实施意见》的通知（浙发改农经〔2022〕107号）；</w:t>
      </w:r>
    </w:p>
    <w:p w14:paraId="6AC5A860">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—《浙江省林业局关于贯彻落实国家林业和草原局“十四五”期间林木采伐管理有关规定的通知》（浙林资〔2022〕39号）；</w:t>
      </w:r>
    </w:p>
    <w:p w14:paraId="2CFE13E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—《浙江省林业局关于印发〈浙江省木本油料全产业链发展实施方案（2022-2025年）〉的通知》（浙林改〔2022〕54号）；</w:t>
      </w:r>
    </w:p>
    <w:p w14:paraId="05109DE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—《浙江省林业局关于做好2023年度全省油茶保供生产工作的通知》（浙林改〔2022〕72号）；</w:t>
      </w:r>
    </w:p>
    <w:p w14:paraId="7BDCB12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—浙江省林业局关于印发《浙江省油茶新种与低产林改造技术指南》的通知（浙林改〔2022〕75号）；</w:t>
      </w:r>
    </w:p>
    <w:p w14:paraId="4D011F1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—《浙江省林业局等3部门关于印发〈浙江省油茶产业发展三年行动方案（2023—2025年）〉的通知》（浙林改〔2023〕30号）；</w:t>
      </w:r>
    </w:p>
    <w:p w14:paraId="732E6B0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—浙江省林业局关于印发《当前油茶保供生产有关政策解读》的通知（浙林字函〔2024〕140号）；</w:t>
      </w:r>
    </w:p>
    <w:p w14:paraId="3B27827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—《浙江省林业局 浙江省财政厅关于加强当前油茶保供生产工作的通知》（浙林改〔2024〕30号）；</w:t>
      </w:r>
    </w:p>
    <w:p w14:paraId="575A0AE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—《浙江省林业局关于进一步加强油茶生产管理工作的通知》（浙林字函〔2024〕226号）；</w:t>
      </w:r>
    </w:p>
    <w:p w14:paraId="025D785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—衢州市林业局关于印发《衢州市中央财政油茶产业发展示范奖补项目管理办法》（试行）的通知（衢市林〔2024〕12号）；</w:t>
      </w:r>
    </w:p>
    <w:p w14:paraId="6549D6D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—《常山县人民政府办公室关于印发〈常山县属国企参与实施常山县油茶产业扩面提质示范建设项目指导意见（试行）〉的通知》（常政办发〔2023〕83号）。</w:t>
      </w:r>
    </w:p>
    <w:p w14:paraId="776EE170">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1.2.3 规范性文件</w:t>
      </w:r>
    </w:p>
    <w:p w14:paraId="6117F82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—《主要造林树种苗木质量分级》（GB6000-1999）；</w:t>
      </w:r>
    </w:p>
    <w:p w14:paraId="12DB25C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—《森林抚育规程》（GB/T15781-2015）；</w:t>
      </w:r>
    </w:p>
    <w:p w14:paraId="026A3E2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—《森林生态系统服务功能评估规范》（GB/T38582-2020）；</w:t>
      </w:r>
    </w:p>
    <w:p w14:paraId="16C1CE60">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—《造林技术规程》（GB/T15776-2023）；</w:t>
      </w:r>
    </w:p>
    <w:p w14:paraId="6C49779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—《营造林工程建设项目文件组成及深度要求（试行）》（LY5141-99）；</w:t>
      </w:r>
    </w:p>
    <w:p w14:paraId="714CE4D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—《森林资源资产评估技术规范》（LY/T2407-2015）；</w:t>
      </w:r>
    </w:p>
    <w:p w14:paraId="288749F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—《低效林改造技术规程》（LY/T1690-2017）；</w:t>
      </w:r>
    </w:p>
    <w:p w14:paraId="51B3F49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—《油茶》（LY/T3355-2023）；</w:t>
      </w:r>
    </w:p>
    <w:p w14:paraId="49F43AC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—《油茶产业发展指南》（2020年）；</w:t>
      </w:r>
    </w:p>
    <w:p w14:paraId="0B57B1A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—《造林绿化落地上图技术规范（试行）》（办生字〔2021〕87号）；</w:t>
      </w:r>
    </w:p>
    <w:p w14:paraId="2C43BE5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—《全国油茶主推品种和推荐品种目录》（2022年）；</w:t>
      </w:r>
    </w:p>
    <w:p w14:paraId="7CBAB7D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—《公益林建设规范（系列）》（DB33/T379-2014）；</w:t>
      </w:r>
    </w:p>
    <w:p w14:paraId="5548F76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—《主要造林树种苗木质量等级》（DB33/T177-2014）；</w:t>
      </w:r>
    </w:p>
    <w:p w14:paraId="4E484A5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—《油茶丰产栽培技术规程》（DB33/T525-2022）；</w:t>
      </w:r>
    </w:p>
    <w:p w14:paraId="25EC8AE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—《林木采伐技术规程》（DB33/T1315—2023）；</w:t>
      </w:r>
    </w:p>
    <w:p w14:paraId="1D35F27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—《浙江省营造林工程预算定额》（2019试行版）；</w:t>
      </w:r>
    </w:p>
    <w:p w14:paraId="04E7FF9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—《浙江省林木采伐技术规程（试行）》（2020年）。</w:t>
      </w:r>
    </w:p>
    <w:p w14:paraId="65FE3662">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default"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1.2.4相关成果</w:t>
      </w:r>
    </w:p>
    <w:p w14:paraId="222C725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—《衢州市油茶产业转型升级五年行动计划（2016-2020年）》；</w:t>
      </w:r>
    </w:p>
    <w:p w14:paraId="3C2644C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—《衢州市“双柚”、油茶、茶叶“三大百亿”产业行动方案》；</w:t>
      </w:r>
    </w:p>
    <w:p w14:paraId="33485BA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—《浙江省衢州市中央财政油茶产业发展示范奖补项目实施方案》；</w:t>
      </w:r>
    </w:p>
    <w:p w14:paraId="2B91132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—《油茶产业2023-2025三年行动方案》；</w:t>
      </w:r>
    </w:p>
    <w:p w14:paraId="5A08030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—《“一滴油”产业高质量发展行动方案》；</w:t>
      </w:r>
    </w:p>
    <w:p w14:paraId="2DED514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—《关于加快常山县油茶产业高质量发展的若干政策意见》；</w:t>
      </w:r>
    </w:p>
    <w:p w14:paraId="40A8258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—《常山县油茶产业扩面提质示范建设项目可行性研究报告》。</w:t>
      </w:r>
    </w:p>
    <w:p w14:paraId="16853A3B">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147" w:name="_Toc29237"/>
      <w:bookmarkStart w:id="148" w:name="_Toc17256"/>
      <w:bookmarkStart w:id="149" w:name="_Toc21797"/>
      <w:r>
        <w:rPr>
          <w:rFonts w:hint="eastAsia" w:ascii="黑体" w:hAnsi="黑体" w:eastAsia="黑体" w:cs="Times New Roman"/>
          <w:bCs w:val="0"/>
          <w:kern w:val="0"/>
          <w:sz w:val="32"/>
          <w:szCs w:val="32"/>
          <w:lang w:val="en-US" w:eastAsia="zh-CN"/>
        </w:rPr>
        <w:t>1.3项目基本情况概述</w:t>
      </w:r>
      <w:bookmarkEnd w:id="147"/>
      <w:bookmarkEnd w:id="148"/>
      <w:bookmarkEnd w:id="149"/>
    </w:p>
    <w:p w14:paraId="74B06B7C">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1.3.1自然地理和社会经济概况</w:t>
      </w:r>
    </w:p>
    <w:p w14:paraId="49DC0EE5">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1.3.1.1自然地理概况</w:t>
      </w:r>
    </w:p>
    <w:p w14:paraId="0521E0CB">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（1）地理位置</w:t>
      </w:r>
    </w:p>
    <w:p w14:paraId="0253817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常山县地处浙江省西南部、钱塘江上游，东邻柯城区，南靠江山市，西南与江西省玉山县交界，西北与开化县毗邻，东北部与杭州市淳安县相接。地理坐标介于东经118°41′51″—118°56′50″、北纬28°49′47″—29°11′49″之间，县域面积1099平方千米，南北长50.8千米、东西宽50.6千米之间。</w:t>
      </w:r>
    </w:p>
    <w:p w14:paraId="395FD2C2">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白石镇地处常山县南部偏西南，东连天马镇，南界江山市大桥镇，西南与江西省玉山县岩瑞镇接壤，西、西北接球川镇，北与同弓乡毗邻，东北仍连天马镇，镇人民政府距常山县城13.3千米，行政区域面积46.2平方千米。</w:t>
      </w:r>
    </w:p>
    <w:p w14:paraId="2B0D6D8D">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（2）地形地貌</w:t>
      </w:r>
    </w:p>
    <w:p w14:paraId="584CF497">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常山县地形以丘陵为主，耕地23.3万亩，有“八山半水分半田”之称。地势以东北、西北、西南边境为高，向中部呈阶梯状平缓展开，主要山脉有怀玉山脉和千里岗山余脉，最高峰为白菊花尖，海拔1394.7米。白石镇中间低南北高，整体由西向东倾斜，以沪瑞线为最低处，两边为平坦的河谷地带，境内最高峰聚宝山，海拔552米。</w:t>
      </w:r>
    </w:p>
    <w:p w14:paraId="75EDC54E">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（3）气候水文</w:t>
      </w:r>
    </w:p>
    <w:p w14:paraId="265C669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常山县地处亚热带地区，四季分明，雨量充沛。年平均气温17.7℃，年平均降水量1760.1毫米，年平均相对湿度76%，年平均无霜期279天，年平均日照总时数1731.2小时。常年空气质量保持在二级以上。</w:t>
      </w:r>
    </w:p>
    <w:p w14:paraId="1BAD99B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境内河流分属钱塘江流域和长江流域，以钱塘江上游常山港为主，其中县境以上（招贤出口）流域面积3176.1 平方千米；另有球川溪，属长江流域鄱阳湖水系，县境内流域面积43.35平方千米。</w:t>
      </w:r>
    </w:p>
    <w:p w14:paraId="60AB9E54">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白石镇河流主要分布在中部和南部，水网密布，山溪众多，均经南门溪汇入常山港，有张家垅水库、尖山底水库、五谷塘水库等。</w:t>
      </w:r>
    </w:p>
    <w:p w14:paraId="510AB686">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（4）土壤条件</w:t>
      </w:r>
    </w:p>
    <w:p w14:paraId="1243CD7B">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常山县境内有山地红壤、黄壤、潮土、水稻土、草甸土等，其中红壤占53.7%，广泛分布在海拔750～800米以下的低山丘陵区；黄壤主要分布在海拔800米以上的山地；潮土分布在溪流沿岸滩地、阶地上；水稻土主要分布在海拔150～1200米之间的谷地、垅地、台地，以及沿溪的河谷平地，是耕地的主要土壤类型；草甸土分布较少，主要零星分布在山区河谷滩地内及水湿条件较好的平缓部位。白石镇土壤以红壤、黄壤、潮土、水稻土为主。</w:t>
      </w:r>
    </w:p>
    <w:p w14:paraId="615F6391">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（5）植被条件</w:t>
      </w:r>
    </w:p>
    <w:p w14:paraId="6F43D2B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常山县植被区划属中亚热带东部常绿阔叶林亚带北缘地区及浙闽山丘甜槠木荷林区。地带性植被系由壳斗科、樟科、木兰科、山茶科、金缕梅科树种为主组成的常绿阔叶林，主要建群树种有甜槠、苦槠、米槠、钩栲、东南栲、栲树、青冈、青栲、石栎、木荷等，乔木层的其他树种还有杜英科、山矾科、冬青科等种类。由于历史上人为活动过于频繁，原生植被正逐渐消失，现状森林植被以马尾松纯林、杉木林、人工油茶林以及马尾松为主的针阔混交林为主；次生常绿阔叶林、常绿落叶阔叶混交林较少，但近几年面积有所增加，主要建群树种为香樟或壳斗科植物；山麓地带、交通便利之处多为人工桔园、茶园等。常山县人工植被分用材林、经济林、四旁绿化、农田植物四种类型，天然植被分常绿阔叶林、常绿落叶阔叶混交林、暖性针叶林、亚热带次生灌丛、草丛等五个类型。</w:t>
      </w:r>
    </w:p>
    <w:p w14:paraId="2EB78CA5">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1.3.1.2社会经济条件</w:t>
      </w:r>
    </w:p>
    <w:p w14:paraId="12F696C8">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（1）行政区划与人口</w:t>
      </w:r>
    </w:p>
    <w:p w14:paraId="7D49A53F">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2023年，下辖3街道6镇5乡，180个行政村，10个社区。全县年末户籍人口总户数为124586户，比上年减少62户，总人口（不含服现役人员）为336266人，平均每户2.7人。男性174077人，女性162189人，分别占总人口的51.8%和48.2%，性别比为107.3（女=100）。总人口比上年减少1627人。白石镇辖1个社区、6个行政村，户籍人口10464人。</w:t>
      </w:r>
    </w:p>
    <w:p w14:paraId="6129F5CA">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（2）社会经济发展</w:t>
      </w:r>
    </w:p>
    <w:p w14:paraId="5BC2703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2023年全县实现地区生产总值 （GDP）2139372万元，按可比价格计算，比上年增长7.1%。分产业看，第一产业增加值93672万元，增长6.8%；第二产业增加值942311万元，增长7.2%；第三产业增加值1103389万元，增长7.0%。</w:t>
      </w:r>
    </w:p>
    <w:p w14:paraId="548119A8">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（3）交通条件</w:t>
      </w:r>
    </w:p>
    <w:p w14:paraId="6DB19CB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2023年末，常山县境内共有3条国家高速公路、3条国道、2条省道、32条县道、33条乡道、370条村道，公路总里程达到1156.8千米，公路网密度为105.5千米/百平方千米。国家高速公路境内总里程89.0公里，其中G60沪昆高速（地方名称杭金衢高速）41.6公里，G3京台高速（地方名称黄衢南高速）31.1公里，G6021杭长高速16.2公里。一般国道境内总里程92.0公里，其中G205山深线23.5公里，G320沪瑞线40.3公里，G351台小线28.2公里。省道境内总里程69.5公里，其中S221淳江线13.5公里，S324温常线56.0公里。国省道干线公路里程250.5公里，占公路总里程的21.7%。县道公路266.0公里，占公路总里程的23.0%。乡道公路163.4公里，占公路总里程的14.1%。村道公路476.9公里，占公路总里程的41.2%。</w:t>
      </w:r>
    </w:p>
    <w:p w14:paraId="12B70D74">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1.3.2项目代建单位运营管理概况</w:t>
      </w:r>
    </w:p>
    <w:p w14:paraId="169C5A0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本项目代建单位为常山县农村投资集团有限公司，其下属常山县汇聚油茶产业发展有限公司具体实施。</w:t>
      </w:r>
    </w:p>
    <w:p w14:paraId="368E86F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常山县汇聚油茶产业发展有限公司（以下简称“汇聚公司”），汇聚公司经县国资中心批准，成立于2021年1月6日，注册资本金5000万元，为常山县农村投资集团有限公司全资子公司。公司以致力打造“常山山茶油”品牌为目标，通过突破传统的营销方式，发挥“互联网+”引流转化优势，不断提高“常山山茶油”的核心竞争力。发展过程中不断创建油茶产业链，推动油茶产业高效发展，投入油茶科技研发，形成农投“两山”实践，多种渠道开发，提升品牌知名度，探索完善配套的服务体系、制度体系、治理体系，形成可复制、可推广的转化成果和典型经验。</w:t>
      </w:r>
    </w:p>
    <w:p w14:paraId="54E4D05E">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1.3.3其他相关情况</w:t>
      </w:r>
    </w:p>
    <w:p w14:paraId="20C17FC5">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1.3.3.1森林资源条件</w:t>
      </w:r>
    </w:p>
    <w:p w14:paraId="1A8C9B3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常山县现有林地面积122.00万亩，森林面积118.91万亩，省口径森林覆盖率72.24%，活立木总蓄积量329.78万立方米，总生物量421.14万吨，总碳储量208.41万吨，乔木林单位面积蓄积4.16立方米/亩。</w:t>
      </w:r>
    </w:p>
    <w:p w14:paraId="075321F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林地按地类分，乔木林地76.43万亩，占林地面积的62.65%，竹林地9.42万亩，占7.72%，灌木林地33.05万亩，占27.09%，其他林地3.10万亩，占2.54%。</w:t>
      </w:r>
    </w:p>
    <w:p w14:paraId="1082624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林分按起源分，天然林30.43万亩，其中乔木林29.69万亩，蓄积94.88万立方米；人工林89.11万亩，其中乔木林46.74万亩，蓄积223.24万立方米。</w:t>
      </w:r>
    </w:p>
    <w:p w14:paraId="667A42F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全县共有公益林60.12万亩，其中重点公益林59.75万亩，占公益林面积的99.38%，一般公益林0.37万亩，仅占0.62%。</w:t>
      </w:r>
    </w:p>
    <w:p w14:paraId="4D6DA996">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1.3.3.2林业基础设施</w:t>
      </w:r>
    </w:p>
    <w:p w14:paraId="1DFE5C6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常山县的林业资源丰富，拥有大面积的森林覆盖。近年来常山县在“绿美常山”的带动下，不断加强林业基础设施建设，开展全域现代林业提升，包括加强森林防火能力、提高林业生产技术水平、推进林业产业转型升级等方面的工作，进一步提升了全县的林业基础设施条件。同时，常山县还是国家公路规划网中浙江境内的重要交通枢纽，公路网络发达，有利于林业产业的发展和林业资源的保护。此外，常山县还有着丰富的水利资源，为林业灌溉提供了有利条件。</w:t>
      </w:r>
    </w:p>
    <w:p w14:paraId="72B9B47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总的来说，常山县的林业基础设施条件较好，为油茶产业的发展提供了有力保障。</w:t>
      </w:r>
    </w:p>
    <w:p w14:paraId="095B8638">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1.3.3.3种苗供应</w:t>
      </w:r>
    </w:p>
    <w:p w14:paraId="5F91107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常山县是油茶的天然分布区，也是油茶种植的重点地区之一。常山县的油茶种苗供应情况比较充足，当地拥有多个油茶良种繁育基地，可以提供优质的油茶种苗。浙江省常山油茶良种繁育基地是常山县油茶良种苗木繁育基地、保障性苗圃，也是全省第一家“物联网+”智慧油茶育苗基地，基地主要培育长林系列（3号、4号、23号、40号、53号）良种苗木，年育苗能力300万亩，良种苗木不仅满足当地造林需求，还推广到全国各地。</w:t>
      </w:r>
    </w:p>
    <w:p w14:paraId="4A126811">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bookmarkStart w:id="150" w:name="_Toc864"/>
      <w:r>
        <w:rPr>
          <w:rFonts w:hint="eastAsia" w:ascii="楷体_GB2312" w:hAnsi="宋体" w:eastAsia="楷体_GB2312" w:cs="宋体"/>
          <w:b/>
          <w:bCs/>
          <w:kern w:val="0"/>
          <w:sz w:val="30"/>
          <w:szCs w:val="30"/>
          <w:lang w:val="en-US" w:eastAsia="zh-CN"/>
        </w:rPr>
        <w:t>1.3.4项目背景概况</w:t>
      </w:r>
    </w:p>
    <w:p w14:paraId="7799243E">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2006年国家林业局出台关于发展油茶产业的意见以来，油茶种植业迅速发展。党的十八大以来，以习近平同志为核心的党中央对发展油茶产业高度重视，党和国家领导人多次就油茶产业发展作出重要批示指示，推动油茶产业新一轮的快速发展，国家先后出台了多项政策支持油茶产业发展。</w:t>
      </w:r>
    </w:p>
    <w:p w14:paraId="1D8E3B4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为全面贯彻落实党中央、国务院关于发展油茶产业的安排部署，浙江省相继出台《关于加快推进木本油料产业提升发展的意见》《关于增强油料供给保障能力促进产业高质量发展的实施意见》《关于增强油料供给保障能力促进产业高质量发展的实施意见》《浙江省油茶产业发展三年行动方案（2023-2025年）》等政策文件，有针对性地指导各地切实做好油茶产业发展。</w:t>
      </w:r>
    </w:p>
    <w:p w14:paraId="4D65264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2023年5月，财政部办公厅 国家林草局办公室联合印发《关于实施中央财政油茶产业发展奖补政策的通知》（财办资环〔2023〕22号），择优筛选现有相对集中连片油茶林面积高于50万亩、总投资超过10亿元的项目实施奖补，项目实施期为5年。</w:t>
      </w:r>
    </w:p>
    <w:p w14:paraId="03B1E5FF">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同年8月，衢州市通过竞争性评审，成功入围中央财政油茶产业发展示范奖补项目，项目获得中央财政4亿元资金支持，项目包括油茶产业链前端建设（包括高标准油茶林新造及低产低效林改造）和产业链后端（包括油茶加工企业技术提升和设备改造、特色品牌打造、龙头企业培育、茶旅融合打造）。产业链前端规划油茶建设规模115487亩，其中安排常山县完成高标准油茶新造8612亩，低产低效油茶林改造19760亩。</w:t>
      </w:r>
    </w:p>
    <w:p w14:paraId="0C43F7F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基于以上背景，常山县以“油茶”为“媒介”推动实现共同富裕，通过项目开展油茶林示范基地建设、高标准油茶林新造、低产低效林改造等，配套作业道路、水肥一体化等必要的生产基础设施，进一步筑牢油茶产业发展根基。2023年12月1日，该项目可行性研究报告获常山县发展和改革局批复（常发改投资〔2023〕455号、常发改投资〔2024〕15号），项目建设内容为高标准油茶新造约8612亩，低产油茶林改造约19760亩，并配套水肥一体化及作业道路等基础设施等，估算总投资15798.67万元。</w:t>
      </w:r>
    </w:p>
    <w:p w14:paraId="6E8180BC">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立项要求抓紧编制初步设计（实施方案），鉴于项目年度实施进度安排及营造林工作实际，项目分三批以乡镇为单位实施。本报告为项目第三批白石镇片区实施方案。</w:t>
      </w:r>
    </w:p>
    <w:p w14:paraId="27EE6C6F">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151" w:name="_Toc6253"/>
      <w:bookmarkStart w:id="152" w:name="_Toc26248"/>
      <w:r>
        <w:rPr>
          <w:rFonts w:hint="eastAsia" w:ascii="黑体" w:hAnsi="黑体" w:eastAsia="黑体" w:cs="Times New Roman"/>
          <w:bCs w:val="0"/>
          <w:kern w:val="0"/>
          <w:sz w:val="32"/>
          <w:szCs w:val="32"/>
          <w:lang w:val="en-US" w:eastAsia="zh-CN"/>
        </w:rPr>
        <w:t>1.4项目建设规模与功能（或产品）方案</w:t>
      </w:r>
      <w:bookmarkEnd w:id="150"/>
      <w:bookmarkEnd w:id="151"/>
      <w:bookmarkEnd w:id="152"/>
    </w:p>
    <w:p w14:paraId="7E3F422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项目开展油茶营造林774.9亩，均为高标准油茶新造，旨在提高项目区油茶单位面积亩产量及油茶品质。完善油茶基地作业道路网络，配套水肥一体化设施，提高项目区油茶集约经营水平。</w:t>
      </w:r>
    </w:p>
    <w:p w14:paraId="3248E81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项目高标准油茶新造选择低山丘陵，海拔600米以下或高差200米以下，坡度5-25度之间（确实难以避免可选用坡度25度以上地块），土层深厚的红壤或黄壤，排水良好的地块。经过调查摸排可用空间，并征求各方意见，白石镇地块选在</w:t>
      </w:r>
      <w:r>
        <w:rPr>
          <w:rFonts w:hint="eastAsia" w:ascii="Times New Roman" w:hAnsi="Times New Roman" w:eastAsia="仿宋_GB2312" w:cs="Times New Roman"/>
          <w:bCs/>
          <w:sz w:val="28"/>
          <w:szCs w:val="28"/>
          <w:lang w:eastAsia="zh-CN"/>
        </w:rPr>
        <w:t>十八里村、新塘岭村</w:t>
      </w:r>
      <w:r>
        <w:rPr>
          <w:rFonts w:hint="eastAsia" w:ascii="Times New Roman" w:hAnsi="Times New Roman" w:eastAsia="仿宋_GB2312" w:cs="Times New Roman"/>
          <w:bCs/>
          <w:kern w:val="0"/>
          <w:sz w:val="28"/>
          <w:szCs w:val="28"/>
          <w:lang w:val="en-US" w:eastAsia="zh-CN"/>
        </w:rPr>
        <w:t>，项目区地势起伏较小，交通便利，水电配套齐全，高差在200米以内（部分高于200米），便于开展高标准油茶新造及后期集约管理。项目采用水平带整地，定点挖穴施基肥，选用长林53、40、4号等优良品种的2年生容器苗进行人工造林，不同品种成双行状间隔排列，造林后连续抚育4年。</w:t>
      </w:r>
    </w:p>
    <w:p w14:paraId="39881BE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项目主要配套工程为水肥一体化和作业道路。水肥一体化技术是把灌溉和施肥融为一体的新型技术，可根据地形、坡度和水源位置等因素综合设计灌溉系统，将可溶性肥料与灌溉用水按照一定比例配兑，实现水肥同步管理和高效利用，项目建设包括供水系统、施肥系统、输水管网和控制系统，实现项目区油茶水肥一体化全覆盖。作业道路分为路宽3米（含路肩）的林区道路和路面宽1米的作业道路，按5-10米/亩密度进行布置。林区道路重点布局在面积较大且现有道路不足的地块，道路路拱形式采用直线型，横坡坡度为1.5%，单向坡，坡向地势较低处，路面采用素土夯实；作业道路充分利用现有山路，合理划分基地区块，随坡就势，挖土、填土、夯实、整平。</w:t>
      </w:r>
    </w:p>
    <w:p w14:paraId="51C7034B">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153" w:name="_Toc16686"/>
      <w:bookmarkStart w:id="154" w:name="_Toc13448"/>
      <w:bookmarkStart w:id="155" w:name="_Toc29821"/>
      <w:r>
        <w:rPr>
          <w:rFonts w:hint="eastAsia" w:ascii="黑体" w:hAnsi="黑体" w:eastAsia="黑体" w:cs="Times New Roman"/>
          <w:bCs w:val="0"/>
          <w:kern w:val="0"/>
          <w:sz w:val="32"/>
          <w:szCs w:val="32"/>
          <w:lang w:val="en-US" w:eastAsia="zh-CN"/>
        </w:rPr>
        <w:t>1.5指导思想</w:t>
      </w:r>
      <w:bookmarkEnd w:id="153"/>
      <w:bookmarkEnd w:id="154"/>
      <w:bookmarkEnd w:id="155"/>
    </w:p>
    <w:p w14:paraId="53D6EF65">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default"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1.5.1指导思想</w:t>
      </w:r>
    </w:p>
    <w:p w14:paraId="495C8AB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以习近平新时代中国特色社会主义思想为指导，全面贯彻落实党的二十大精神，牢固树立“绿水青山就是金山银山”理念，深刻领会“树立大食物观”内涵要义，以保障国家粮油安全为目标，以推进油茶保供生产工作为主线，以推动山区农民增收为支点，以建立一二三产深度融合发展的现代油茶产业体系为核心，加快构建现代油茶全产业链发展模式，将常山打造为全国油茶产业的示范样板和高地，为提升我国食用植物油供给能力、保障国家粮油安全、建设生态文明和美丽中国、助推林业推进人与自然和谐共生的现代化新型示范区贡献常山力量。</w:t>
      </w:r>
    </w:p>
    <w:p w14:paraId="42429D58">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default"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1.5.2原则</w:t>
      </w:r>
    </w:p>
    <w:p w14:paraId="0D697EB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根据高标准油茶建设的核心需求、战略意义及工作特点，为确保常山县中央财政油茶产业建设工程顺利实施，项目建设遵循以下原则：坚持生态优先、绿色惠民；因地制宜，合理规划，突出重点，节约投资；强化科技支撑，加强管理，注重实效。</w:t>
      </w:r>
    </w:p>
    <w:p w14:paraId="3975AD44">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default"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1.5.3目标</w:t>
      </w:r>
    </w:p>
    <w:p w14:paraId="3C43F0AB">
      <w:pPr>
        <w:pageBreakBefore w:val="0"/>
        <w:widowControl w:val="0"/>
        <w:tabs>
          <w:tab w:val="left" w:pos="4840"/>
        </w:tabs>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第三批项目白石镇片区完成油茶营造林面积774.9亩，配套水肥一体化、生产道路等基础设施，提高油茶规模集约化和高效培育水平，打造优质高产高标准油茶产业基地和全国示范样板。通过开展水肥一体化建设，实现水肥资源的合理利用，降低油茶林生产经营成本，幼林期可促进油茶快速成林，成林期可提高油茶果实产量及含油率，同时保护土壤及水资源，促进油茶产业可持续发展。新造油茶林成活率90%以上，验收合格率达到100%，林木良种使用率达到100%，设计油茶籽产量达到90kg/亩及以上，实现项目年度绩效考核目标。</w:t>
      </w:r>
    </w:p>
    <w:p w14:paraId="34366E8A">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156" w:name="_Toc30580"/>
      <w:bookmarkStart w:id="157" w:name="_Toc32719"/>
      <w:bookmarkStart w:id="158" w:name="_Toc24167"/>
      <w:r>
        <w:rPr>
          <w:rFonts w:hint="eastAsia" w:ascii="黑体" w:hAnsi="黑体" w:eastAsia="黑体" w:cs="Times New Roman"/>
          <w:bCs w:val="0"/>
          <w:kern w:val="0"/>
          <w:sz w:val="32"/>
          <w:szCs w:val="32"/>
          <w:lang w:val="en-US" w:eastAsia="zh-CN"/>
        </w:rPr>
        <w:t>1.6项目总技术路线</w:t>
      </w:r>
      <w:bookmarkEnd w:id="156"/>
      <w:bookmarkEnd w:id="157"/>
      <w:bookmarkEnd w:id="158"/>
    </w:p>
    <w:p w14:paraId="5ED96127">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eastAsia" w:ascii="楷体" w:hAnsi="楷体" w:eastAsia="楷体" w:cs="楷体"/>
          <w:b/>
          <w:bCs/>
          <w:color w:val="0000FF"/>
          <w:sz w:val="24"/>
          <w:szCs w:val="24"/>
          <w:lang w:val="en-US" w:eastAsia="zh-CN"/>
        </w:rPr>
      </w:pPr>
      <w:r>
        <w:rPr>
          <w:rFonts w:hint="eastAsia" w:ascii="楷体" w:hAnsi="楷体" w:eastAsia="楷体" w:cs="楷体"/>
          <w:b/>
          <w:bCs/>
          <w:color w:val="0000FF"/>
          <w:sz w:val="24"/>
          <w:szCs w:val="24"/>
          <w:lang w:val="en-US" w:eastAsia="zh-CN"/>
        </w:rPr>
        <w:drawing>
          <wp:inline distT="0" distB="0" distL="114300" distR="114300">
            <wp:extent cx="5219700" cy="2554605"/>
            <wp:effectExtent l="0" t="0" r="0" b="5715"/>
            <wp:docPr id="35" name="图片 19" descr="未命名文件(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9" descr="未命名文件(10)"/>
                    <pic:cNvPicPr>
                      <a:picLocks noChangeAspect="1"/>
                    </pic:cNvPicPr>
                  </pic:nvPicPr>
                  <pic:blipFill>
                    <a:blip r:embed="rId27"/>
                    <a:srcRect t="13078" b="3307"/>
                    <a:stretch>
                      <a:fillRect/>
                    </a:stretch>
                  </pic:blipFill>
                  <pic:spPr>
                    <a:xfrm>
                      <a:off x="0" y="0"/>
                      <a:ext cx="5219700" cy="2554605"/>
                    </a:xfrm>
                    <a:prstGeom prst="rect">
                      <a:avLst/>
                    </a:prstGeom>
                    <a:noFill/>
                    <a:ln>
                      <a:noFill/>
                    </a:ln>
                  </pic:spPr>
                </pic:pic>
              </a:graphicData>
            </a:graphic>
          </wp:inline>
        </w:drawing>
      </w:r>
    </w:p>
    <w:p w14:paraId="718E2526">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eastAsia" w:ascii="楷体" w:hAnsi="楷体" w:eastAsia="楷体" w:cs="楷体"/>
          <w:b/>
          <w:bCs/>
          <w:color w:val="0000FF"/>
          <w:sz w:val="24"/>
          <w:szCs w:val="24"/>
          <w:lang w:val="en-US" w:eastAsia="zh-CN"/>
        </w:rPr>
      </w:pPr>
      <w:r>
        <w:rPr>
          <w:rFonts w:hint="eastAsia" w:ascii="楷体" w:hAnsi="楷体" w:eastAsia="楷体" w:cs="楷体"/>
          <w:b/>
          <w:bCs/>
          <w:color w:val="0000FF"/>
          <w:sz w:val="24"/>
          <w:szCs w:val="24"/>
          <w:lang w:val="en-US" w:eastAsia="zh-CN"/>
        </w:rPr>
        <w:t>图1-1 常山县油茶产业扩面提质示范建设项目方案编制技术路线图</w:t>
      </w:r>
    </w:p>
    <w:p w14:paraId="4DF50DE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通过资料收集、外业调查、内业设计等程序，开展实施方案编制，重点包括采伐作业设计、营造林作业设计、水肥一体化设计、作业道路设计等，最大限度发挥项目综合效益。</w:t>
      </w:r>
    </w:p>
    <w:p w14:paraId="2A88CD54">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159" w:name="_Toc14303"/>
      <w:bookmarkStart w:id="160" w:name="_Toc19897"/>
      <w:bookmarkStart w:id="161" w:name="_Toc14350"/>
      <w:r>
        <w:rPr>
          <w:rFonts w:hint="eastAsia" w:ascii="黑体" w:hAnsi="黑体" w:eastAsia="黑体" w:cs="Times New Roman"/>
          <w:bCs w:val="0"/>
          <w:kern w:val="0"/>
          <w:sz w:val="32"/>
          <w:szCs w:val="32"/>
          <w:lang w:val="en-US" w:eastAsia="zh-CN"/>
        </w:rPr>
        <w:t>1.7环境保护</w:t>
      </w:r>
      <w:bookmarkEnd w:id="159"/>
      <w:bookmarkEnd w:id="160"/>
      <w:bookmarkEnd w:id="161"/>
    </w:p>
    <w:p w14:paraId="3AFD67E0">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林木采伐时，划定缓冲区域，保护作业区域内溪流、湖泊、湿地的水环境，未经特许，不应采伐任何林木，除修建过水管道和桥涵等工程作业外，施工机器不应进入，不应向缓冲区倾倒采伐剩余物、其他杂物和垃圾。</w:t>
      </w:r>
    </w:p>
    <w:p w14:paraId="34D5995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（2）造林整地时尽量不进行全垦整地，采用块状或带状整地，保留原生植被带，防止水土流失。</w:t>
      </w:r>
    </w:p>
    <w:p w14:paraId="3B26CED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（3）施工中，尽量利用现有道路，控制施工作业面，降低因开挖和人为活动给野生动物带来的影响。</w:t>
      </w:r>
    </w:p>
    <w:p w14:paraId="55E4C000">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（4）施工后，必须对生态环境进行恢复和补救，对建设产生的垃圾和污染物进行彻底清除，并进行深埋处理。</w:t>
      </w:r>
    </w:p>
    <w:p w14:paraId="4B89E65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（5）施肥时，尽量使用农家肥，少使用化肥，或采用配方施肥的方法，避免破坏土壤的物理性质和化学性质。</w:t>
      </w:r>
    </w:p>
    <w:p w14:paraId="3AB4186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（6）积极使用生物防治、物理防治措施，并在营林措施的各环节采用相应的措施，增强油茶苗木的抵抗力，减少病虫害的发生和危害程度。</w:t>
      </w:r>
    </w:p>
    <w:p w14:paraId="06F6B33B">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162" w:name="_Toc21700"/>
      <w:bookmarkStart w:id="163" w:name="_Toc28631"/>
      <w:bookmarkStart w:id="164" w:name="_Toc18243"/>
      <w:r>
        <w:rPr>
          <w:rFonts w:hint="eastAsia" w:ascii="黑体" w:hAnsi="黑体" w:eastAsia="黑体" w:cs="Times New Roman"/>
          <w:bCs w:val="0"/>
          <w:kern w:val="0"/>
          <w:sz w:val="32"/>
          <w:szCs w:val="32"/>
          <w:lang w:val="en-US" w:eastAsia="zh-CN"/>
        </w:rPr>
        <w:t>1.8劳动安全卫生</w:t>
      </w:r>
      <w:bookmarkEnd w:id="162"/>
      <w:bookmarkEnd w:id="163"/>
      <w:bookmarkEnd w:id="164"/>
    </w:p>
    <w:p w14:paraId="28C0A88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严格执行《建设项目（工程）劳动安全卫生监察规定》等有关劳动安全的法规和规定，在项目建设与运行过程中，牢固树立“以人为本、安全发展”的理念，坚持贯彻“安全第一，预防为主，综合治理”的方针。工程建设期和经营期生活垃圾的处理、饮食卫生以及施工噪声、超负荷劳动和意外伤害等为施工区卫生防疫及职业病防护的重点。</w:t>
      </w:r>
    </w:p>
    <w:p w14:paraId="5FAFCDF7">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165" w:name="_Toc3077"/>
      <w:bookmarkStart w:id="166" w:name="_Toc6473"/>
      <w:bookmarkStart w:id="167" w:name="_Toc6514"/>
      <w:r>
        <w:rPr>
          <w:rFonts w:hint="eastAsia" w:ascii="黑体" w:hAnsi="黑体" w:eastAsia="黑体" w:cs="Times New Roman"/>
          <w:bCs w:val="0"/>
          <w:kern w:val="0"/>
          <w:sz w:val="32"/>
          <w:szCs w:val="32"/>
          <w:lang w:val="en-US" w:eastAsia="zh-CN"/>
        </w:rPr>
        <w:t>1.</w:t>
      </w:r>
      <w:r>
        <w:rPr>
          <w:rFonts w:hint="eastAsia" w:ascii="黑体" w:hAnsi="黑体" w:cs="Times New Roman"/>
          <w:bCs w:val="0"/>
          <w:kern w:val="0"/>
          <w:sz w:val="32"/>
          <w:szCs w:val="32"/>
          <w:lang w:val="en-US" w:eastAsia="zh-CN"/>
        </w:rPr>
        <w:t>9实施方案</w:t>
      </w:r>
      <w:r>
        <w:rPr>
          <w:rFonts w:hint="eastAsia" w:ascii="黑体" w:hAnsi="黑体" w:eastAsia="黑体" w:cs="Times New Roman"/>
          <w:bCs w:val="0"/>
          <w:kern w:val="0"/>
          <w:sz w:val="32"/>
          <w:szCs w:val="32"/>
          <w:lang w:val="en-US" w:eastAsia="zh-CN"/>
        </w:rPr>
        <w:t>与可研批复对比分析说明</w:t>
      </w:r>
      <w:bookmarkEnd w:id="165"/>
      <w:bookmarkEnd w:id="166"/>
      <w:bookmarkEnd w:id="167"/>
    </w:p>
    <w:p w14:paraId="148C5895">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常山县油茶产业扩面提质示范建设项目可行性研究报告》评审时共收集意见22条，涉及需要进一步与相关部门进行对接的，建设单位进行了充分对接，在可研报批中全部进行了修改完善，并将项目联合审查会会议纪要及回复附于可研报告中。具体如下：</w:t>
      </w:r>
    </w:p>
    <w:p w14:paraId="4EA0824A">
      <w:pPr>
        <w:pageBreakBefore w:val="0"/>
        <w:widowControl w:val="0"/>
        <w:kinsoku/>
        <w:wordWrap/>
        <w:overflowPunct/>
        <w:topLinePunct w:val="0"/>
        <w:bidi w:val="0"/>
        <w:spacing w:after="0"/>
        <w:ind w:firstLine="560"/>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针对县监管办提出的“明确项目实施单位，确定项目招投标方式，限额以上公开招标。”，项目业主单位为常山县油茶产业发展中心，代建单位为常山县农村投资集团有限公司，常山县汇聚油茶产业发展有限公司具体实施，招标方式在可行性研究报告“6.3.2 招标方式”进行了明确。</w:t>
      </w:r>
    </w:p>
    <w:p w14:paraId="5777E5A7">
      <w:pPr>
        <w:pageBreakBefore w:val="0"/>
        <w:widowControl w:val="0"/>
        <w:kinsoku/>
        <w:wordWrap/>
        <w:overflowPunct/>
        <w:topLinePunct w:val="0"/>
        <w:bidi w:val="0"/>
        <w:spacing w:after="0"/>
        <w:ind w:firstLine="560"/>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针对</w:t>
      </w:r>
      <w:r>
        <w:rPr>
          <w:rFonts w:hint="default" w:ascii="Times New Roman" w:hAnsi="Times New Roman" w:eastAsia="仿宋_GB2312" w:cs="Times New Roman"/>
          <w:bCs/>
          <w:kern w:val="0"/>
          <w:sz w:val="28"/>
          <w:szCs w:val="28"/>
          <w:lang w:val="en-US" w:eastAsia="zh-CN"/>
        </w:rPr>
        <w:t>县资规局</w:t>
      </w:r>
      <w:r>
        <w:rPr>
          <w:rFonts w:hint="eastAsia" w:ascii="Times New Roman" w:hAnsi="Times New Roman" w:eastAsia="仿宋_GB2312" w:cs="Times New Roman"/>
          <w:bCs/>
          <w:kern w:val="0"/>
          <w:sz w:val="28"/>
          <w:szCs w:val="28"/>
          <w:lang w:val="en-US" w:eastAsia="zh-CN"/>
        </w:rPr>
        <w:t>提出的“用地和空间科、利用科做好对接。”，本项目建设用地范围已经与“国土三调”“三区三线”等数据做了充分衔接，建设范围不涉及耕地、永久基本农田和生态红线，确保建设范围用地符合相关政策要求。</w:t>
      </w:r>
    </w:p>
    <w:p w14:paraId="1AE15D81">
      <w:pPr>
        <w:pageBreakBefore w:val="0"/>
        <w:widowControl w:val="0"/>
        <w:kinsoku/>
        <w:wordWrap/>
        <w:overflowPunct/>
        <w:topLinePunct w:val="0"/>
        <w:bidi w:val="0"/>
        <w:spacing w:after="0"/>
        <w:ind w:firstLine="560"/>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针对</w:t>
      </w:r>
      <w:r>
        <w:rPr>
          <w:rFonts w:hint="default" w:ascii="Times New Roman" w:hAnsi="Times New Roman" w:eastAsia="仿宋_GB2312" w:cs="Times New Roman"/>
          <w:bCs/>
          <w:kern w:val="0"/>
          <w:sz w:val="28"/>
          <w:szCs w:val="28"/>
          <w:lang w:val="en-US" w:eastAsia="zh-CN"/>
        </w:rPr>
        <w:t>县林水局</w:t>
      </w:r>
      <w:r>
        <w:rPr>
          <w:rFonts w:hint="eastAsia" w:ascii="Times New Roman" w:hAnsi="Times New Roman" w:eastAsia="仿宋_GB2312" w:cs="Times New Roman"/>
          <w:bCs/>
          <w:kern w:val="0"/>
          <w:sz w:val="28"/>
          <w:szCs w:val="28"/>
          <w:lang w:val="en-US" w:eastAsia="zh-CN"/>
        </w:rPr>
        <w:t>（水保科）提出的“在工程项目实施过程中，应突出水土保持措施的实施，减少水土流失”，在可行性研究报告第八章、第九章针对水土保持制定了相应的措施，要求在实施过程中将做好相关工作。</w:t>
      </w:r>
    </w:p>
    <w:p w14:paraId="47E69B99">
      <w:pPr>
        <w:pageBreakBefore w:val="0"/>
        <w:widowControl w:val="0"/>
        <w:kinsoku/>
        <w:wordWrap/>
        <w:overflowPunct/>
        <w:topLinePunct w:val="0"/>
        <w:bidi w:val="0"/>
        <w:spacing w:after="0"/>
        <w:ind w:firstLine="560"/>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针对县林水局（水保科）提出的“应到林水局的水保站咨询是否需要办理生产建设项目水土保持登记备案”“该项目临近山塘、水库，应与林水局规划建设科联系”“该项目临近河道，应与林水局河湖科联系”，在后续工作中项目建设单位与水保相关部门做了对接，将按要求开展水土保持登记备案，同时，收集“常山县河道管理范围线临水线”对项目建设范围进行了优化，提出林木采伐及项目建设缓冲范围避让河道管理范围线临水线。</w:t>
      </w:r>
    </w:p>
    <w:p w14:paraId="21F4EF18">
      <w:pPr>
        <w:pageBreakBefore w:val="0"/>
        <w:widowControl w:val="0"/>
        <w:kinsoku/>
        <w:wordWrap/>
        <w:overflowPunct/>
        <w:topLinePunct w:val="0"/>
        <w:bidi w:val="0"/>
        <w:spacing w:after="0"/>
        <w:ind w:firstLine="560"/>
        <w:rPr>
          <w:rFonts w:hint="default" w:ascii="Times New Roman" w:hAnsi="Times New Roman" w:eastAsia="仿宋_GB2312" w:cs="Times New Roman"/>
          <w:bCs/>
          <w:kern w:val="0"/>
          <w:sz w:val="28"/>
          <w:szCs w:val="28"/>
          <w:lang w:val="en-US" w:eastAsia="zh-CN"/>
        </w:rPr>
      </w:pPr>
      <w:r>
        <w:rPr>
          <w:rFonts w:hint="default" w:ascii="Times New Roman" w:hAnsi="Times New Roman" w:eastAsia="仿宋_GB2312" w:cs="Times New Roman"/>
          <w:bCs/>
          <w:kern w:val="0"/>
          <w:sz w:val="28"/>
          <w:szCs w:val="28"/>
          <w:lang w:val="en-US" w:eastAsia="zh-CN"/>
        </w:rPr>
        <w:t>县林水局（森林资源管理）</w:t>
      </w:r>
      <w:r>
        <w:rPr>
          <w:rFonts w:hint="eastAsia" w:ascii="Times New Roman" w:hAnsi="Times New Roman" w:eastAsia="仿宋_GB2312" w:cs="Times New Roman"/>
          <w:bCs/>
          <w:kern w:val="0"/>
          <w:sz w:val="28"/>
          <w:szCs w:val="28"/>
          <w:lang w:val="en-US" w:eastAsia="zh-CN"/>
        </w:rPr>
        <w:t>提出的“报告要体现红线矢量图”“涉及林地需报批”“会后将红线矢量图发森林资源科郑荣民”，经过对接，红线矢量图会后已发送森林资源科郑荣民，可行性研究报告附图有项目建设范围图体现项目建设范围，项目为营造林项目，涉及林木采伐按林木采伐要求办理采伐证。</w:t>
      </w:r>
    </w:p>
    <w:p w14:paraId="5081571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本方案为常山县油茶产业扩面提质示范建设项目第三批项目白石镇片区，建设内容规模及投资均在可行性研究报告范围之内。</w:t>
      </w:r>
    </w:p>
    <w:p w14:paraId="2CB936FB">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168" w:name="_Toc25827"/>
      <w:bookmarkStart w:id="169" w:name="_Toc3117"/>
      <w:bookmarkStart w:id="170" w:name="_Toc3128"/>
      <w:r>
        <w:rPr>
          <w:rFonts w:hint="eastAsia" w:ascii="黑体" w:hAnsi="黑体" w:eastAsia="黑体" w:cs="Times New Roman"/>
          <w:bCs w:val="0"/>
          <w:kern w:val="0"/>
          <w:sz w:val="32"/>
          <w:szCs w:val="32"/>
          <w:lang w:val="en-US" w:eastAsia="zh-CN"/>
        </w:rPr>
        <w:t>1.1</w:t>
      </w:r>
      <w:r>
        <w:rPr>
          <w:rFonts w:hint="eastAsia" w:ascii="黑体" w:hAnsi="黑体" w:cs="Times New Roman"/>
          <w:bCs w:val="0"/>
          <w:kern w:val="0"/>
          <w:sz w:val="32"/>
          <w:szCs w:val="32"/>
          <w:lang w:val="en-US" w:eastAsia="zh-CN"/>
        </w:rPr>
        <w:t>0实施方案</w:t>
      </w:r>
      <w:r>
        <w:rPr>
          <w:rFonts w:hint="eastAsia" w:ascii="黑体" w:hAnsi="黑体" w:eastAsia="黑体" w:cs="Times New Roman"/>
          <w:bCs w:val="0"/>
          <w:kern w:val="0"/>
          <w:sz w:val="32"/>
          <w:szCs w:val="32"/>
          <w:lang w:val="en-US" w:eastAsia="zh-CN"/>
        </w:rPr>
        <w:t>文件组成</w:t>
      </w:r>
      <w:bookmarkEnd w:id="168"/>
      <w:bookmarkEnd w:id="169"/>
      <w:bookmarkEnd w:id="170"/>
    </w:p>
    <w:p w14:paraId="770ABAB4">
      <w:pPr>
        <w:pageBreakBefore w:val="0"/>
        <w:widowControl w:val="0"/>
        <w:kinsoku/>
        <w:wordWrap/>
        <w:overflowPunct/>
        <w:topLinePunct w:val="0"/>
        <w:bidi w:val="0"/>
        <w:snapToGrid/>
        <w:spacing w:after="0" w:line="360" w:lineRule="auto"/>
        <w:ind w:firstLine="560" w:firstLineChars="200"/>
        <w:jc w:val="both"/>
        <w:rPr>
          <w:rFonts w:hint="eastAsia"/>
        </w:rPr>
      </w:pPr>
      <w:r>
        <w:rPr>
          <w:rFonts w:hint="eastAsia" w:ascii="Times New Roman" w:hAnsi="Times New Roman" w:eastAsia="仿宋_GB2312" w:cs="Times New Roman"/>
          <w:bCs/>
          <w:kern w:val="0"/>
          <w:sz w:val="28"/>
          <w:szCs w:val="28"/>
          <w:lang w:val="en-US" w:eastAsia="zh-CN"/>
        </w:rPr>
        <w:t>本方案包括说明书文本和营造林、水肥一体化、作业道路等的初步设计图纸。</w:t>
      </w:r>
    </w:p>
    <w:p w14:paraId="2EEC3D7F">
      <w:pPr>
        <w:pageBreakBefore w:val="0"/>
        <w:widowControl w:val="0"/>
        <w:kinsoku/>
        <w:wordWrap/>
        <w:overflowPunct/>
        <w:topLinePunct w:val="0"/>
        <w:bidi w:val="0"/>
        <w:snapToGrid/>
        <w:rPr>
          <w:rFonts w:hint="eastAsia"/>
        </w:rPr>
      </w:pPr>
      <w:r>
        <w:rPr>
          <w:rFonts w:hint="eastAsia"/>
        </w:rPr>
        <w:br w:type="page"/>
      </w:r>
    </w:p>
    <w:p w14:paraId="5973A00F">
      <w:pPr>
        <w:pStyle w:val="2"/>
        <w:pageBreakBefore w:val="0"/>
        <w:widowControl w:val="0"/>
        <w:kinsoku/>
        <w:wordWrap/>
        <w:overflowPunct/>
        <w:topLinePunct w:val="0"/>
        <w:bidi w:val="0"/>
        <w:snapToGrid/>
        <w:spacing w:before="326" w:beforeLines="100" w:after="326" w:afterLines="100" w:line="360" w:lineRule="auto"/>
        <w:ind w:right="0" w:rightChars="0" w:firstLine="0" w:firstLineChars="0"/>
        <w:jc w:val="center"/>
        <w:outlineLvl w:val="9"/>
        <w:rPr>
          <w:rFonts w:hint="eastAsia" w:ascii="黑体" w:hAnsi="黑体" w:eastAsia="黑体" w:cs="Times New Roman"/>
          <w:bCs/>
          <w:sz w:val="36"/>
          <w:szCs w:val="36"/>
          <w:lang w:val="en-US" w:eastAsia="zh-CN"/>
        </w:rPr>
        <w:sectPr>
          <w:headerReference r:id="rId11" w:type="default"/>
          <w:footerReference r:id="rId13" w:type="default"/>
          <w:headerReference r:id="rId12" w:type="even"/>
          <w:footerReference r:id="rId14" w:type="even"/>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p w14:paraId="714151B8">
      <w:pPr>
        <w:pStyle w:val="2"/>
        <w:pageBreakBefore w:val="0"/>
        <w:widowControl w:val="0"/>
        <w:kinsoku/>
        <w:wordWrap/>
        <w:overflowPunct/>
        <w:topLinePunct w:val="0"/>
        <w:bidi w:val="0"/>
        <w:snapToGrid/>
        <w:spacing w:before="326" w:beforeLines="100" w:after="326" w:afterLines="100" w:line="360" w:lineRule="auto"/>
        <w:ind w:right="0" w:rightChars="0" w:firstLine="0" w:firstLineChars="0"/>
        <w:jc w:val="center"/>
        <w:rPr>
          <w:rFonts w:hint="default" w:ascii="黑体" w:hAnsi="黑体" w:eastAsia="黑体" w:cs="Times New Roman"/>
          <w:b/>
          <w:bCs w:val="0"/>
          <w:sz w:val="36"/>
          <w:szCs w:val="36"/>
          <w:lang w:val="en-US" w:eastAsia="zh-CN"/>
        </w:rPr>
      </w:pPr>
      <w:bookmarkStart w:id="171" w:name="_Toc18835"/>
      <w:bookmarkStart w:id="172" w:name="_Toc32257"/>
      <w:bookmarkStart w:id="173" w:name="_Toc9493"/>
      <w:r>
        <w:rPr>
          <w:rFonts w:hint="eastAsia" w:ascii="黑体" w:hAnsi="黑体" w:eastAsia="黑体" w:cs="Times New Roman"/>
          <w:b/>
          <w:bCs w:val="0"/>
          <w:sz w:val="36"/>
          <w:szCs w:val="36"/>
          <w:lang w:val="en-US" w:eastAsia="zh-CN"/>
        </w:rPr>
        <w:t>第二章 项目总平面</w:t>
      </w:r>
      <w:bookmarkEnd w:id="171"/>
      <w:bookmarkEnd w:id="172"/>
      <w:bookmarkEnd w:id="173"/>
      <w:r>
        <w:rPr>
          <w:rFonts w:hint="eastAsia" w:cs="Times New Roman"/>
          <w:b/>
          <w:bCs w:val="0"/>
          <w:sz w:val="36"/>
          <w:szCs w:val="36"/>
          <w:lang w:val="en-US" w:eastAsia="zh-CN"/>
        </w:rPr>
        <w:t>方案</w:t>
      </w:r>
    </w:p>
    <w:p w14:paraId="4E9809D4">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174" w:name="_Toc28688"/>
      <w:bookmarkStart w:id="175" w:name="_Toc7035"/>
      <w:bookmarkStart w:id="176" w:name="_Toc16487"/>
      <w:r>
        <w:rPr>
          <w:rFonts w:hint="eastAsia" w:ascii="黑体" w:hAnsi="黑体" w:eastAsia="黑体" w:cs="Times New Roman"/>
          <w:bCs w:val="0"/>
          <w:kern w:val="0"/>
          <w:sz w:val="32"/>
          <w:szCs w:val="32"/>
          <w:lang w:val="en-US" w:eastAsia="zh-CN"/>
        </w:rPr>
        <w:t>2.1依据及基础资料</w:t>
      </w:r>
      <w:bookmarkEnd w:id="174"/>
      <w:bookmarkEnd w:id="175"/>
      <w:bookmarkEnd w:id="176"/>
    </w:p>
    <w:p w14:paraId="2AA061F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（1）最新1:2000地形图；</w:t>
      </w:r>
    </w:p>
    <w:p w14:paraId="0F3AF9EC">
      <w:pPr>
        <w:pageBreakBefore w:val="0"/>
        <w:widowControl w:val="0"/>
        <w:numPr>
          <w:ilvl w:val="0"/>
          <w:numId w:val="0"/>
        </w:numPr>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bidi="ar-SA"/>
        </w:rPr>
        <w:t>（2）</w:t>
      </w:r>
      <w:r>
        <w:rPr>
          <w:rFonts w:hint="eastAsia" w:ascii="Times New Roman" w:hAnsi="Times New Roman" w:eastAsia="仿宋_GB2312" w:cs="Times New Roman"/>
          <w:bCs/>
          <w:kern w:val="0"/>
          <w:sz w:val="28"/>
          <w:szCs w:val="28"/>
          <w:lang w:val="en-US" w:eastAsia="zh-CN"/>
        </w:rPr>
        <w:t>“三区三线”资料数据；</w:t>
      </w:r>
    </w:p>
    <w:p w14:paraId="1EEAFF27">
      <w:pPr>
        <w:pageBreakBefore w:val="0"/>
        <w:widowControl w:val="0"/>
        <w:numPr>
          <w:ilvl w:val="0"/>
          <w:numId w:val="0"/>
        </w:numPr>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bidi="ar-SA"/>
        </w:rPr>
        <w:t>（3）常山县2023年度</w:t>
      </w:r>
      <w:r>
        <w:rPr>
          <w:rFonts w:hint="eastAsia" w:ascii="Times New Roman" w:hAnsi="Times New Roman" w:eastAsia="仿宋_GB2312" w:cs="Times New Roman"/>
          <w:bCs/>
          <w:kern w:val="0"/>
          <w:sz w:val="28"/>
          <w:szCs w:val="28"/>
          <w:lang w:val="en-US" w:eastAsia="zh-CN"/>
        </w:rPr>
        <w:t>“国土三调”变更数据库；</w:t>
      </w:r>
    </w:p>
    <w:p w14:paraId="0FC4A063">
      <w:pPr>
        <w:pageBreakBefore w:val="0"/>
        <w:widowControl w:val="0"/>
        <w:numPr>
          <w:ilvl w:val="0"/>
          <w:numId w:val="0"/>
        </w:numPr>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bidi="ar-SA"/>
        </w:rPr>
        <w:t>（4）常山县2023年度</w:t>
      </w:r>
      <w:r>
        <w:rPr>
          <w:rFonts w:hint="eastAsia" w:ascii="Times New Roman" w:hAnsi="Times New Roman" w:eastAsia="仿宋_GB2312" w:cs="Times New Roman"/>
          <w:bCs/>
          <w:kern w:val="0"/>
          <w:sz w:val="28"/>
          <w:szCs w:val="28"/>
          <w:lang w:val="en-US" w:eastAsia="zh-CN"/>
        </w:rPr>
        <w:t>林草生态综合监测成果数据库；</w:t>
      </w:r>
    </w:p>
    <w:p w14:paraId="1A30BD6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（3）常山县水域管理范围数据；</w:t>
      </w:r>
    </w:p>
    <w:p w14:paraId="113A51A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（4）常山县油茶产业扩面提质示范建设项目可行性研究报告；</w:t>
      </w:r>
    </w:p>
    <w:p w14:paraId="5744B2A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（5）第三批项目建设范围矢量数据；</w:t>
      </w:r>
    </w:p>
    <w:p w14:paraId="632CDAC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（6）外业调查资料及其他相关资料。</w:t>
      </w:r>
    </w:p>
    <w:p w14:paraId="0EED81D8">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177" w:name="_Toc25230"/>
      <w:bookmarkStart w:id="178" w:name="_Toc26780"/>
      <w:bookmarkStart w:id="179" w:name="_Toc4033"/>
      <w:r>
        <w:rPr>
          <w:rFonts w:hint="eastAsia" w:ascii="黑体" w:hAnsi="黑体" w:eastAsia="黑体" w:cs="Times New Roman"/>
          <w:bCs w:val="0"/>
          <w:kern w:val="0"/>
          <w:sz w:val="32"/>
          <w:szCs w:val="32"/>
          <w:lang w:val="en-US" w:eastAsia="zh-CN"/>
        </w:rPr>
        <w:t>2.2场地概述</w:t>
      </w:r>
      <w:bookmarkEnd w:id="177"/>
      <w:bookmarkEnd w:id="178"/>
      <w:bookmarkEnd w:id="179"/>
    </w:p>
    <w:p w14:paraId="2952B9FF">
      <w:pPr>
        <w:pageBreakBefore w:val="0"/>
        <w:widowControl w:val="0"/>
        <w:numPr>
          <w:ilvl w:val="0"/>
          <w:numId w:val="0"/>
        </w:numPr>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bidi="ar-SA"/>
        </w:rPr>
        <w:t>（1）第三批</w:t>
      </w:r>
      <w:r>
        <w:rPr>
          <w:rFonts w:hint="eastAsia" w:ascii="Times New Roman" w:hAnsi="Times New Roman" w:eastAsia="仿宋_GB2312" w:cs="Times New Roman"/>
          <w:bCs/>
          <w:kern w:val="0"/>
          <w:sz w:val="28"/>
          <w:szCs w:val="28"/>
          <w:lang w:val="en-US" w:eastAsia="zh-CN"/>
        </w:rPr>
        <w:t>项目涉及白石镇、新昌乡、芳村镇3个片区，本项目白石镇片区涉及十八里村、新塘岭村。</w:t>
      </w:r>
    </w:p>
    <w:p w14:paraId="30B13550">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（2）白石镇片区营造林地块位于丘陵地区，地势起伏不大，交通便利，电力道路基础配套较齐全，平均高差约100米，局部高差达到120米。</w:t>
      </w:r>
    </w:p>
    <w:p w14:paraId="36A1CB1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（3）该片区现状为乔木林地或竹林地，造林前进行皆伐作业，采伐后进行更新造林。</w:t>
      </w:r>
    </w:p>
    <w:p w14:paraId="2352AD1F">
      <w:pPr>
        <w:pageBreakBefore w:val="0"/>
        <w:widowControl w:val="0"/>
        <w:kinsoku/>
        <w:wordWrap/>
        <w:overflowPunct/>
        <w:topLinePunct w:val="0"/>
        <w:bidi w:val="0"/>
        <w:snapToGrid/>
        <w:spacing w:after="0" w:line="360" w:lineRule="auto"/>
        <w:ind w:firstLine="560" w:firstLineChars="200"/>
        <w:jc w:val="both"/>
        <w:rPr>
          <w:rFonts w:hint="eastAsia"/>
          <w:lang w:val="en-US" w:eastAsia="zh-CN"/>
        </w:rPr>
      </w:pPr>
      <w:r>
        <w:rPr>
          <w:rFonts w:hint="eastAsia" w:ascii="Times New Roman" w:hAnsi="Times New Roman" w:eastAsia="仿宋_GB2312" w:cs="Times New Roman"/>
          <w:bCs/>
          <w:kern w:val="0"/>
          <w:sz w:val="28"/>
          <w:szCs w:val="28"/>
          <w:lang w:val="en-US" w:eastAsia="zh-CN"/>
        </w:rPr>
        <w:t>（4）场地内无原有建筑物、构筑物，以及保留（包括古树名木、古迹、地形、植被等）、拆除的情况。</w:t>
      </w:r>
    </w:p>
    <w:tbl>
      <w:tblPr>
        <w:tblStyle w:val="2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57" w:type="dxa"/>
          <w:bottom w:w="0" w:type="dxa"/>
          <w:right w:w="57" w:type="dxa"/>
        </w:tblCellMar>
      </w:tblPr>
      <w:tblGrid>
        <w:gridCol w:w="4210"/>
        <w:gridCol w:w="4210"/>
      </w:tblGrid>
      <w:tr w14:paraId="306B84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7" w:type="dxa"/>
            <w:bottom w:w="0" w:type="dxa"/>
            <w:right w:w="57" w:type="dxa"/>
          </w:tblCellMar>
        </w:tblPrEx>
        <w:tc>
          <w:tcPr>
            <w:tcW w:w="4210" w:type="dxa"/>
            <w:vAlign w:val="center"/>
          </w:tcPr>
          <w:p w14:paraId="6C8D54F7">
            <w:pPr>
              <w:pageBreakBefore w:val="0"/>
              <w:widowControl w:val="0"/>
              <w:kinsoku/>
              <w:wordWrap/>
              <w:overflowPunct/>
              <w:topLinePunct w:val="0"/>
              <w:bidi w:val="0"/>
              <w:snapToGrid/>
              <w:spacing w:after="0" w:line="0" w:lineRule="atLeast"/>
              <w:ind w:firstLine="0" w:firstLineChars="0"/>
              <w:jc w:val="center"/>
              <w:rPr>
                <w:rFonts w:hint="eastAsia" w:eastAsia="宋体"/>
                <w:vertAlign w:val="baseline"/>
                <w:lang w:val="en-US" w:eastAsia="zh-CN"/>
              </w:rPr>
            </w:pPr>
            <w:r>
              <w:rPr>
                <w:rFonts w:hint="eastAsia" w:eastAsia="宋体"/>
                <w:vertAlign w:val="baseline"/>
                <w:lang w:val="en-US" w:eastAsia="zh-CN"/>
              </w:rPr>
              <w:drawing>
                <wp:inline distT="0" distB="0" distL="114300" distR="114300">
                  <wp:extent cx="2590800" cy="1943100"/>
                  <wp:effectExtent l="0" t="0" r="0" b="7620"/>
                  <wp:docPr id="6" name="图片 6" descr="7a9a2e82f98f2fa18f717657b7757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7a9a2e82f98f2fa18f717657b7757d5"/>
                          <pic:cNvPicPr>
                            <a:picLocks noChangeAspect="1"/>
                          </pic:cNvPicPr>
                        </pic:nvPicPr>
                        <pic:blipFill>
                          <a:blip r:embed="rId28"/>
                          <a:stretch>
                            <a:fillRect/>
                          </a:stretch>
                        </pic:blipFill>
                        <pic:spPr>
                          <a:xfrm>
                            <a:off x="0" y="0"/>
                            <a:ext cx="2590800" cy="1943100"/>
                          </a:xfrm>
                          <a:prstGeom prst="rect">
                            <a:avLst/>
                          </a:prstGeom>
                        </pic:spPr>
                      </pic:pic>
                    </a:graphicData>
                  </a:graphic>
                </wp:inline>
              </w:drawing>
            </w:r>
          </w:p>
        </w:tc>
        <w:tc>
          <w:tcPr>
            <w:tcW w:w="4210" w:type="dxa"/>
            <w:vAlign w:val="center"/>
          </w:tcPr>
          <w:p w14:paraId="561A9478">
            <w:pPr>
              <w:pageBreakBefore w:val="0"/>
              <w:widowControl w:val="0"/>
              <w:kinsoku/>
              <w:wordWrap/>
              <w:overflowPunct/>
              <w:topLinePunct w:val="0"/>
              <w:bidi w:val="0"/>
              <w:snapToGrid/>
              <w:spacing w:after="0" w:line="0" w:lineRule="atLeast"/>
              <w:ind w:firstLine="0" w:firstLineChars="0"/>
              <w:jc w:val="center"/>
              <w:rPr>
                <w:rFonts w:hint="eastAsia" w:eastAsia="宋体"/>
                <w:vertAlign w:val="baseline"/>
                <w:lang w:val="en-US" w:eastAsia="zh-CN"/>
              </w:rPr>
            </w:pPr>
            <w:r>
              <w:rPr>
                <w:rFonts w:hint="eastAsia" w:eastAsia="宋体"/>
                <w:vertAlign w:val="baseline"/>
                <w:lang w:val="en-US" w:eastAsia="zh-CN"/>
              </w:rPr>
              <w:drawing>
                <wp:inline distT="0" distB="0" distL="114300" distR="114300">
                  <wp:extent cx="2590800" cy="1943100"/>
                  <wp:effectExtent l="0" t="0" r="0" b="7620"/>
                  <wp:docPr id="10" name="图片 10" descr="66c828a9955533b425acefecaa10a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66c828a9955533b425acefecaa10ae5"/>
                          <pic:cNvPicPr>
                            <a:picLocks noChangeAspect="1"/>
                          </pic:cNvPicPr>
                        </pic:nvPicPr>
                        <pic:blipFill>
                          <a:blip r:embed="rId29"/>
                          <a:stretch>
                            <a:fillRect/>
                          </a:stretch>
                        </pic:blipFill>
                        <pic:spPr>
                          <a:xfrm>
                            <a:off x="0" y="0"/>
                            <a:ext cx="2590800" cy="1943100"/>
                          </a:xfrm>
                          <a:prstGeom prst="rect">
                            <a:avLst/>
                          </a:prstGeom>
                        </pic:spPr>
                      </pic:pic>
                    </a:graphicData>
                  </a:graphic>
                </wp:inline>
              </w:drawing>
            </w:r>
          </w:p>
        </w:tc>
      </w:tr>
      <w:tr w14:paraId="706DFF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7" w:type="dxa"/>
            <w:bottom w:w="0" w:type="dxa"/>
            <w:right w:w="57" w:type="dxa"/>
          </w:tblCellMar>
        </w:tblPrEx>
        <w:tc>
          <w:tcPr>
            <w:tcW w:w="4210" w:type="dxa"/>
            <w:vAlign w:val="center"/>
          </w:tcPr>
          <w:p w14:paraId="14D384B4">
            <w:pPr>
              <w:pageBreakBefore w:val="0"/>
              <w:widowControl w:val="0"/>
              <w:kinsoku/>
              <w:wordWrap/>
              <w:overflowPunct/>
              <w:topLinePunct w:val="0"/>
              <w:bidi w:val="0"/>
              <w:snapToGrid/>
              <w:spacing w:after="0" w:line="0" w:lineRule="atLeast"/>
              <w:ind w:firstLine="0" w:firstLineChars="0"/>
              <w:jc w:val="center"/>
              <w:rPr>
                <w:rFonts w:hint="eastAsia" w:eastAsia="宋体"/>
                <w:vertAlign w:val="baseline"/>
                <w:lang w:val="en-US" w:eastAsia="zh-CN"/>
              </w:rPr>
            </w:pPr>
            <w:r>
              <w:rPr>
                <w:rFonts w:hint="eastAsia" w:eastAsia="宋体"/>
                <w:vertAlign w:val="baseline"/>
                <w:lang w:val="en-US" w:eastAsia="zh-CN"/>
              </w:rPr>
              <w:drawing>
                <wp:inline distT="0" distB="0" distL="114300" distR="114300">
                  <wp:extent cx="2590800" cy="1943100"/>
                  <wp:effectExtent l="0" t="0" r="0" b="7620"/>
                  <wp:docPr id="9" name="图片 9" descr="ad241aa92b829a0c566fb2b58760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d241aa92b829a0c566fb2b58760404"/>
                          <pic:cNvPicPr>
                            <a:picLocks noChangeAspect="1"/>
                          </pic:cNvPicPr>
                        </pic:nvPicPr>
                        <pic:blipFill>
                          <a:blip r:embed="rId30"/>
                          <a:stretch>
                            <a:fillRect/>
                          </a:stretch>
                        </pic:blipFill>
                        <pic:spPr>
                          <a:xfrm>
                            <a:off x="0" y="0"/>
                            <a:ext cx="2590800" cy="1943100"/>
                          </a:xfrm>
                          <a:prstGeom prst="rect">
                            <a:avLst/>
                          </a:prstGeom>
                        </pic:spPr>
                      </pic:pic>
                    </a:graphicData>
                  </a:graphic>
                </wp:inline>
              </w:drawing>
            </w:r>
          </w:p>
        </w:tc>
        <w:tc>
          <w:tcPr>
            <w:tcW w:w="4210" w:type="dxa"/>
            <w:vAlign w:val="center"/>
          </w:tcPr>
          <w:p w14:paraId="0EAEA506">
            <w:pPr>
              <w:pageBreakBefore w:val="0"/>
              <w:widowControl w:val="0"/>
              <w:kinsoku/>
              <w:wordWrap/>
              <w:overflowPunct/>
              <w:topLinePunct w:val="0"/>
              <w:bidi w:val="0"/>
              <w:snapToGrid/>
              <w:spacing w:after="0" w:line="0" w:lineRule="atLeast"/>
              <w:ind w:firstLine="0" w:firstLineChars="0"/>
              <w:jc w:val="center"/>
              <w:rPr>
                <w:rFonts w:hint="eastAsia" w:eastAsia="宋体"/>
                <w:lang w:eastAsia="zh-CN"/>
              </w:rPr>
            </w:pPr>
            <w:r>
              <w:rPr>
                <w:rFonts w:hint="eastAsia" w:eastAsia="宋体"/>
                <w:lang w:eastAsia="zh-CN"/>
              </w:rPr>
              <w:drawing>
                <wp:inline distT="0" distB="0" distL="114300" distR="114300">
                  <wp:extent cx="2590800" cy="1943100"/>
                  <wp:effectExtent l="0" t="0" r="0" b="7620"/>
                  <wp:docPr id="11" name="图片 11" descr="b134cfa7f7daebd3618ec173dbe6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b134cfa7f7daebd3618ec173dbe6609"/>
                          <pic:cNvPicPr>
                            <a:picLocks noChangeAspect="1"/>
                          </pic:cNvPicPr>
                        </pic:nvPicPr>
                        <pic:blipFill>
                          <a:blip r:embed="rId31"/>
                          <a:stretch>
                            <a:fillRect/>
                          </a:stretch>
                        </pic:blipFill>
                        <pic:spPr>
                          <a:xfrm>
                            <a:off x="0" y="0"/>
                            <a:ext cx="2590800" cy="1943100"/>
                          </a:xfrm>
                          <a:prstGeom prst="rect">
                            <a:avLst/>
                          </a:prstGeom>
                        </pic:spPr>
                      </pic:pic>
                    </a:graphicData>
                  </a:graphic>
                </wp:inline>
              </w:drawing>
            </w:r>
          </w:p>
        </w:tc>
      </w:tr>
      <w:tr w14:paraId="0707D1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57" w:type="dxa"/>
            <w:bottom w:w="0" w:type="dxa"/>
            <w:right w:w="57" w:type="dxa"/>
          </w:tblCellMar>
        </w:tblPrEx>
        <w:tc>
          <w:tcPr>
            <w:tcW w:w="8420" w:type="dxa"/>
            <w:gridSpan w:val="2"/>
            <w:vAlign w:val="center"/>
          </w:tcPr>
          <w:p w14:paraId="2D04B11B">
            <w:pPr>
              <w:pStyle w:val="29"/>
              <w:pageBreakBefore w:val="0"/>
              <w:widowControl w:val="0"/>
              <w:kinsoku/>
              <w:wordWrap/>
              <w:overflowPunct/>
              <w:topLinePunct w:val="0"/>
              <w:bidi w:val="0"/>
              <w:snapToGrid/>
              <w:spacing w:after="0" w:line="240" w:lineRule="auto"/>
              <w:ind w:firstLine="0" w:firstLineChars="0"/>
              <w:jc w:val="center"/>
              <w:rPr>
                <w:rFonts w:hint="eastAsia" w:ascii="楷体" w:hAnsi="楷体" w:eastAsia="楷体" w:cs="楷体"/>
                <w:b/>
                <w:bCs/>
                <w:color w:val="0000FF"/>
                <w:vertAlign w:val="baseline"/>
                <w:lang w:val="en-US" w:eastAsia="zh-CN"/>
              </w:rPr>
            </w:pPr>
            <w:r>
              <w:rPr>
                <w:rFonts w:hint="eastAsia" w:ascii="楷体" w:hAnsi="楷体" w:eastAsia="楷体" w:cs="楷体"/>
                <w:b/>
                <w:bCs/>
                <w:color w:val="0000FF"/>
                <w:vertAlign w:val="baseline"/>
                <w:lang w:val="en-US" w:eastAsia="zh-CN"/>
              </w:rPr>
              <w:t>图2-1 白石镇片区营造林地块现状图</w:t>
            </w:r>
          </w:p>
        </w:tc>
      </w:tr>
    </w:tbl>
    <w:p w14:paraId="1628C54B">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180" w:name="_Toc899"/>
      <w:bookmarkStart w:id="181" w:name="_Toc15859"/>
      <w:bookmarkStart w:id="182" w:name="_Toc1762"/>
      <w:r>
        <w:rPr>
          <w:rFonts w:hint="eastAsia" w:ascii="黑体" w:hAnsi="黑体" w:eastAsia="黑体" w:cs="Times New Roman"/>
          <w:bCs w:val="0"/>
          <w:kern w:val="0"/>
          <w:sz w:val="32"/>
          <w:szCs w:val="32"/>
          <w:lang w:val="en-US" w:eastAsia="zh-CN"/>
        </w:rPr>
        <w:t>2.3总平面布置</w:t>
      </w:r>
      <w:bookmarkEnd w:id="180"/>
      <w:bookmarkEnd w:id="181"/>
      <w:bookmarkEnd w:id="182"/>
    </w:p>
    <w:p w14:paraId="167E6AA0">
      <w:pPr>
        <w:pStyle w:val="29"/>
        <w:pageBreakBefore w:val="0"/>
        <w:widowControl w:val="0"/>
        <w:kinsoku/>
        <w:wordWrap/>
        <w:overflowPunct/>
        <w:topLinePunct w:val="0"/>
        <w:autoSpaceDE/>
        <w:autoSpaceDN/>
        <w:bidi w:val="0"/>
        <w:snapToGrid/>
        <w:spacing w:after="0" w:line="360" w:lineRule="auto"/>
        <w:ind w:firstLine="560" w:firstLineChars="200"/>
        <w:jc w:val="both"/>
        <w:rPr>
          <w:rFonts w:hint="eastAsia" w:ascii="楷体" w:hAnsi="楷体" w:eastAsia="楷体" w:cs="楷体"/>
          <w:b/>
          <w:bCs/>
          <w:color w:val="0000FF"/>
          <w:vertAlign w:val="baseline"/>
          <w:lang w:val="en-US" w:eastAsia="zh-CN"/>
        </w:rPr>
      </w:pPr>
      <w:r>
        <w:rPr>
          <w:rFonts w:hint="eastAsia" w:ascii="Times New Roman" w:hAnsi="Times New Roman" w:eastAsia="仿宋_GB2312" w:cs="Times New Roman"/>
          <w:bCs/>
          <w:kern w:val="0"/>
          <w:sz w:val="28"/>
          <w:szCs w:val="28"/>
          <w:lang w:val="en-US" w:eastAsia="zh-CN"/>
        </w:rPr>
        <w:t>本项目包括营造林、水肥一体化和作业道路，总平面布置考虑营造林呈带状沿等高线分布，因地制宜带宽3米以上，采用油茶良种进行造林，株行距3m×4m；水肥一体化布置考虑集中连片的区域为一个整体，就近选择山塘水库、河流作为水源，建设取水井（泵）和输水管道，在营造林地块边缘合适位置建设水肥机房，划分若干个灌区，通过主管道、支管道及滴灌带将水肥输送到小班地块每个角落，或通过高位建设PE桶，通过高差直流进行灌溉。对于地势落差较大的地块，在水肥机房至高位PE桶之间设置加压泵（井），保证水肥输送。此外，在管道分岔及给水节点处，设置太阳能电磁阀，实现远程控制灌区切换。详见附图 总体布局图。</w:t>
      </w:r>
    </w:p>
    <w:p w14:paraId="459AEB7F">
      <w:pPr>
        <w:pStyle w:val="29"/>
        <w:pageBreakBefore w:val="0"/>
        <w:widowControl w:val="0"/>
        <w:kinsoku/>
        <w:wordWrap/>
        <w:overflowPunct/>
        <w:topLinePunct w:val="0"/>
        <w:autoSpaceDE/>
        <w:autoSpaceDN/>
        <w:bidi w:val="0"/>
        <w:snapToGrid/>
        <w:spacing w:after="0" w:line="360" w:lineRule="auto"/>
        <w:ind w:firstLine="482" w:firstLineChars="200"/>
        <w:jc w:val="both"/>
        <w:rPr>
          <w:rFonts w:hint="eastAsia"/>
          <w:b/>
          <w:bCs/>
          <w:lang w:val="en-US" w:eastAsia="zh-CN"/>
        </w:rPr>
        <w:sectPr>
          <w:headerReference r:id="rId15"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53C29CD7">
      <w:pPr>
        <w:pStyle w:val="2"/>
        <w:pageBreakBefore w:val="0"/>
        <w:widowControl w:val="0"/>
        <w:kinsoku/>
        <w:wordWrap/>
        <w:overflowPunct/>
        <w:topLinePunct w:val="0"/>
        <w:bidi w:val="0"/>
        <w:snapToGrid/>
        <w:spacing w:before="326" w:beforeLines="100" w:after="326" w:afterLines="100" w:line="360" w:lineRule="auto"/>
        <w:ind w:right="0" w:rightChars="0" w:firstLine="0" w:firstLineChars="0"/>
        <w:jc w:val="center"/>
        <w:rPr>
          <w:rFonts w:hint="default" w:ascii="黑体" w:hAnsi="黑体" w:eastAsia="黑体" w:cs="Times New Roman"/>
          <w:b/>
          <w:bCs w:val="0"/>
          <w:sz w:val="36"/>
          <w:szCs w:val="36"/>
          <w:lang w:val="en-US" w:eastAsia="zh-CN"/>
        </w:rPr>
      </w:pPr>
      <w:bookmarkStart w:id="183" w:name="_Toc24236"/>
      <w:bookmarkStart w:id="184" w:name="_Toc23916"/>
      <w:bookmarkStart w:id="185" w:name="_Toc21116"/>
      <w:r>
        <w:rPr>
          <w:rFonts w:hint="eastAsia" w:ascii="黑体" w:hAnsi="黑体" w:eastAsia="黑体" w:cs="Times New Roman"/>
          <w:b/>
          <w:bCs w:val="0"/>
          <w:sz w:val="36"/>
          <w:szCs w:val="36"/>
          <w:lang w:val="en-US" w:eastAsia="zh-CN"/>
        </w:rPr>
        <w:t xml:space="preserve">第三章 </w:t>
      </w:r>
      <w:r>
        <w:rPr>
          <w:rFonts w:hint="eastAsia" w:cs="Times New Roman"/>
          <w:b/>
          <w:bCs w:val="0"/>
          <w:sz w:val="36"/>
          <w:szCs w:val="36"/>
          <w:lang w:val="en-US" w:eastAsia="zh-CN"/>
        </w:rPr>
        <w:t>营造林</w:t>
      </w:r>
      <w:bookmarkEnd w:id="183"/>
      <w:bookmarkEnd w:id="184"/>
      <w:bookmarkEnd w:id="185"/>
      <w:r>
        <w:rPr>
          <w:rFonts w:hint="eastAsia" w:cs="Times New Roman"/>
          <w:b/>
          <w:bCs w:val="0"/>
          <w:sz w:val="36"/>
          <w:szCs w:val="36"/>
          <w:lang w:val="en-US" w:eastAsia="zh-CN"/>
        </w:rPr>
        <w:t>方案</w:t>
      </w:r>
    </w:p>
    <w:p w14:paraId="331F8E63">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default" w:ascii="黑体" w:hAnsi="黑体" w:eastAsia="黑体" w:cs="Times New Roman"/>
          <w:bCs w:val="0"/>
          <w:kern w:val="0"/>
          <w:sz w:val="32"/>
          <w:szCs w:val="32"/>
          <w:lang w:val="en-US" w:eastAsia="zh-CN"/>
        </w:rPr>
      </w:pPr>
      <w:bookmarkStart w:id="186" w:name="_Toc14275"/>
      <w:bookmarkStart w:id="187" w:name="_Toc16045"/>
      <w:bookmarkStart w:id="188" w:name="_Toc16698"/>
      <w:r>
        <w:rPr>
          <w:rFonts w:hint="eastAsia" w:ascii="黑体" w:hAnsi="黑体" w:eastAsia="黑体" w:cs="Times New Roman"/>
          <w:bCs w:val="0"/>
          <w:kern w:val="0"/>
          <w:sz w:val="32"/>
          <w:szCs w:val="32"/>
          <w:lang w:val="en-US" w:eastAsia="zh-CN"/>
        </w:rPr>
        <w:t>3.1营造林地块基本情况</w:t>
      </w:r>
      <w:bookmarkEnd w:id="186"/>
      <w:bookmarkEnd w:id="187"/>
      <w:bookmarkEnd w:id="188"/>
    </w:p>
    <w:p w14:paraId="3C57076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项目地块均为新造林类型，涉及白石镇，面积774.9亩，其中十八里村4个小班118.3亩、新塘岭村5个小班656.6亩。该区域为常山县低山缓丘区，交通便利，土壤条件适宜发展油茶生产，现状均为成、过熟商品林，树种以杉木、马尾松及阔叶树，林下以蕨类、芒萁、白茅等草本为主，少量竹林，土层较厚、排水条件好、坡度在25度左右，适宜发展高标准油茶。</w:t>
      </w:r>
    </w:p>
    <w:p w14:paraId="79E9A088">
      <w:pPr>
        <w:pStyle w:val="19"/>
        <w:pageBreakBefore w:val="0"/>
        <w:widowControl w:val="0"/>
        <w:kinsoku/>
        <w:wordWrap/>
        <w:overflowPunct/>
        <w:topLinePunct w:val="0"/>
        <w:bidi w:val="0"/>
        <w:spacing w:after="0"/>
        <w:ind w:firstLine="482"/>
        <w:jc w:val="center"/>
        <w:rPr>
          <w:rFonts w:hint="eastAsia" w:ascii="楷体" w:hAnsi="楷体" w:eastAsia="楷体" w:cs="楷体"/>
          <w:b/>
          <w:bCs/>
          <w:sz w:val="24"/>
          <w:szCs w:val="24"/>
          <w:lang w:val="en-US" w:eastAsia="zh-CN"/>
        </w:rPr>
      </w:pPr>
      <w:r>
        <w:rPr>
          <w:rFonts w:hint="eastAsia" w:ascii="楷体" w:hAnsi="楷体" w:eastAsia="楷体" w:cs="楷体"/>
          <w:b/>
          <w:bCs/>
          <w:sz w:val="24"/>
          <w:szCs w:val="24"/>
        </w:rPr>
        <w:t>表3-</w:t>
      </w:r>
      <w:r>
        <w:rPr>
          <w:rFonts w:hint="eastAsia" w:ascii="楷体" w:hAnsi="楷体" w:eastAsia="楷体" w:cs="楷体"/>
          <w:b/>
          <w:bCs/>
          <w:sz w:val="24"/>
          <w:szCs w:val="24"/>
          <w:lang w:val="en-US" w:eastAsia="zh-CN"/>
        </w:rPr>
        <w:t>1</w:t>
      </w:r>
      <w:r>
        <w:rPr>
          <w:rFonts w:hint="eastAsia" w:ascii="楷体" w:hAnsi="楷体" w:eastAsia="楷体" w:cs="楷体"/>
          <w:b/>
          <w:bCs/>
          <w:sz w:val="24"/>
          <w:szCs w:val="24"/>
        </w:rPr>
        <w:t xml:space="preserve"> </w:t>
      </w:r>
      <w:r>
        <w:rPr>
          <w:rFonts w:hint="eastAsia" w:ascii="楷体" w:hAnsi="楷体" w:eastAsia="楷体" w:cs="楷体"/>
          <w:b/>
          <w:bCs/>
          <w:sz w:val="24"/>
          <w:szCs w:val="24"/>
          <w:lang w:val="en-US" w:eastAsia="zh-CN"/>
        </w:rPr>
        <w:t>营造林地块面积统计表</w:t>
      </w:r>
    </w:p>
    <w:p w14:paraId="71C6B7A2">
      <w:pPr>
        <w:pStyle w:val="19"/>
        <w:keepNext w:val="0"/>
        <w:keepLines w:val="0"/>
        <w:pageBreakBefore w:val="0"/>
        <w:widowControl w:val="0"/>
        <w:kinsoku/>
        <w:wordWrap/>
        <w:overflowPunct/>
        <w:topLinePunct w:val="0"/>
        <w:autoSpaceDE/>
        <w:autoSpaceDN/>
        <w:bidi w:val="0"/>
        <w:adjustRightInd/>
        <w:snapToGrid/>
        <w:spacing w:after="0" w:line="240" w:lineRule="auto"/>
        <w:ind w:firstLine="0" w:firstLineChars="0"/>
        <w:jc w:val="right"/>
        <w:textAlignment w:val="auto"/>
        <w:rPr>
          <w:rFonts w:hint="default" w:ascii="楷体" w:hAnsi="楷体" w:eastAsia="楷体" w:cs="楷体"/>
          <w:b w:val="0"/>
          <w:bCs w:val="0"/>
          <w:sz w:val="21"/>
          <w:szCs w:val="21"/>
          <w:lang w:val="en-US" w:eastAsia="zh-CN"/>
        </w:rPr>
      </w:pPr>
      <w:r>
        <w:rPr>
          <w:rFonts w:hint="eastAsia" w:ascii="楷体" w:hAnsi="楷体" w:eastAsia="楷体" w:cs="楷体"/>
          <w:b w:val="0"/>
          <w:bCs w:val="0"/>
          <w:sz w:val="21"/>
          <w:szCs w:val="21"/>
          <w:lang w:val="en-US" w:eastAsia="zh-CN"/>
        </w:rPr>
        <w:t>单位：亩</w:t>
      </w:r>
    </w:p>
    <w:tbl>
      <w:tblPr>
        <w:tblStyle w:val="20"/>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05"/>
        <w:gridCol w:w="1627"/>
        <w:gridCol w:w="2046"/>
        <w:gridCol w:w="1216"/>
        <w:gridCol w:w="1216"/>
        <w:gridCol w:w="1209"/>
      </w:tblGrid>
      <w:tr w14:paraId="2E40CB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70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A395A">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序号</w:t>
            </w:r>
          </w:p>
        </w:tc>
        <w:tc>
          <w:tcPr>
            <w:tcW w:w="9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74D0A7">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乡镇</w:t>
            </w:r>
          </w:p>
        </w:tc>
        <w:tc>
          <w:tcPr>
            <w:tcW w:w="12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62982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村</w:t>
            </w:r>
          </w:p>
        </w:tc>
        <w:tc>
          <w:tcPr>
            <w:tcW w:w="7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0162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小班数</w:t>
            </w:r>
          </w:p>
        </w:tc>
        <w:tc>
          <w:tcPr>
            <w:tcW w:w="7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871164">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面积</w:t>
            </w: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4E8258">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类型</w:t>
            </w:r>
          </w:p>
        </w:tc>
      </w:tr>
      <w:tr w14:paraId="1304F5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70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9DBDA">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val="0"/>
                <w:bCs w:val="0"/>
                <w:i w:val="0"/>
                <w:iCs w:val="0"/>
                <w:color w:val="000000"/>
                <w:sz w:val="24"/>
                <w:szCs w:val="24"/>
                <w:u w:val="none"/>
              </w:rPr>
            </w:pPr>
            <w:r>
              <w:rPr>
                <w:rFonts w:hint="eastAsia" w:ascii="楷体" w:hAnsi="楷体" w:eastAsia="楷体" w:cs="楷体"/>
                <w:b w:val="0"/>
                <w:bCs w:val="0"/>
                <w:i w:val="0"/>
                <w:iCs w:val="0"/>
                <w:color w:val="000000"/>
                <w:kern w:val="0"/>
                <w:sz w:val="24"/>
                <w:szCs w:val="24"/>
                <w:u w:val="none"/>
                <w:lang w:val="en-US" w:eastAsia="zh-CN" w:bidi="ar"/>
              </w:rPr>
              <w:t>1</w:t>
            </w:r>
          </w:p>
        </w:tc>
        <w:tc>
          <w:tcPr>
            <w:tcW w:w="9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687C4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b w:val="0"/>
                <w:bCs w:val="0"/>
                <w:i w:val="0"/>
                <w:iCs w:val="0"/>
                <w:color w:val="000000"/>
                <w:kern w:val="0"/>
                <w:sz w:val="24"/>
                <w:szCs w:val="24"/>
                <w:u w:val="none"/>
                <w:lang w:val="en-US" w:eastAsia="zh-CN" w:bidi="ar"/>
              </w:rPr>
              <w:t>白石镇</w:t>
            </w:r>
          </w:p>
        </w:tc>
        <w:tc>
          <w:tcPr>
            <w:tcW w:w="12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D11E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十八里村</w:t>
            </w:r>
          </w:p>
        </w:tc>
        <w:tc>
          <w:tcPr>
            <w:tcW w:w="7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A1FDEE">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b w:val="0"/>
                <w:bCs w:val="0"/>
                <w:i w:val="0"/>
                <w:iCs w:val="0"/>
                <w:color w:val="000000"/>
                <w:kern w:val="0"/>
                <w:sz w:val="24"/>
                <w:szCs w:val="24"/>
                <w:u w:val="none"/>
                <w:lang w:val="en-US" w:eastAsia="zh-CN" w:bidi="ar"/>
              </w:rPr>
              <w:t>4</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3B02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118.3</w:t>
            </w: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BD6DB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b w:val="0"/>
                <w:bCs w:val="0"/>
                <w:i w:val="0"/>
                <w:iCs w:val="0"/>
                <w:color w:val="000000"/>
                <w:kern w:val="0"/>
                <w:sz w:val="24"/>
                <w:szCs w:val="24"/>
                <w:u w:val="none"/>
                <w:lang w:val="en-US" w:eastAsia="zh-CN" w:bidi="ar"/>
              </w:rPr>
              <w:t>新造</w:t>
            </w:r>
          </w:p>
        </w:tc>
      </w:tr>
      <w:tr w14:paraId="111DB2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70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497506">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b w:val="0"/>
                <w:bCs w:val="0"/>
                <w:i w:val="0"/>
                <w:iCs w:val="0"/>
                <w:color w:val="000000"/>
                <w:kern w:val="0"/>
                <w:sz w:val="24"/>
                <w:szCs w:val="24"/>
                <w:u w:val="none"/>
                <w:lang w:val="en-US" w:eastAsia="zh-CN" w:bidi="ar"/>
              </w:rPr>
              <w:t>2</w:t>
            </w:r>
          </w:p>
        </w:tc>
        <w:tc>
          <w:tcPr>
            <w:tcW w:w="9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DA4F2E">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p>
        </w:tc>
        <w:tc>
          <w:tcPr>
            <w:tcW w:w="12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38288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新塘岭村</w:t>
            </w:r>
          </w:p>
        </w:tc>
        <w:tc>
          <w:tcPr>
            <w:tcW w:w="7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132EC">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b w:val="0"/>
                <w:bCs w:val="0"/>
                <w:i w:val="0"/>
                <w:iCs w:val="0"/>
                <w:color w:val="000000"/>
                <w:kern w:val="0"/>
                <w:sz w:val="24"/>
                <w:szCs w:val="24"/>
                <w:u w:val="none"/>
                <w:lang w:val="en-US" w:eastAsia="zh-CN" w:bidi="ar"/>
              </w:rPr>
              <w:t>5</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414C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656.6</w:t>
            </w: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C6F045">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b w:val="0"/>
                <w:bCs w:val="0"/>
                <w:i w:val="0"/>
                <w:iCs w:val="0"/>
                <w:color w:val="000000"/>
                <w:kern w:val="0"/>
                <w:sz w:val="24"/>
                <w:szCs w:val="24"/>
                <w:u w:val="none"/>
                <w:lang w:val="en-US" w:eastAsia="zh-CN" w:bidi="ar"/>
              </w:rPr>
              <w:t>新造</w:t>
            </w:r>
          </w:p>
        </w:tc>
      </w:tr>
      <w:tr w14:paraId="1C34BB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70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A0EF5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3</w:t>
            </w:r>
          </w:p>
        </w:tc>
        <w:tc>
          <w:tcPr>
            <w:tcW w:w="9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5B22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小计</w:t>
            </w:r>
          </w:p>
        </w:tc>
        <w:tc>
          <w:tcPr>
            <w:tcW w:w="12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A5B77">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kern w:val="0"/>
                <w:sz w:val="24"/>
                <w:szCs w:val="24"/>
                <w:u w:val="none"/>
                <w:lang w:val="en-US" w:eastAsia="zh-CN" w:bidi="ar"/>
              </w:rPr>
            </w:pPr>
          </w:p>
        </w:tc>
        <w:tc>
          <w:tcPr>
            <w:tcW w:w="7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3A3B4">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9</w:t>
            </w:r>
          </w:p>
        </w:tc>
        <w:tc>
          <w:tcPr>
            <w:tcW w:w="7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C71AA">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774.9</w:t>
            </w: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A7904">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新造</w:t>
            </w:r>
          </w:p>
        </w:tc>
      </w:tr>
    </w:tbl>
    <w:p w14:paraId="26E6E7AB">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default" w:ascii="黑体" w:hAnsi="黑体" w:eastAsia="黑体" w:cs="Times New Roman"/>
          <w:bCs w:val="0"/>
          <w:kern w:val="0"/>
          <w:sz w:val="32"/>
          <w:szCs w:val="32"/>
          <w:lang w:val="en-US" w:eastAsia="zh-CN"/>
        </w:rPr>
      </w:pPr>
      <w:bookmarkStart w:id="189" w:name="_Toc24202"/>
      <w:bookmarkStart w:id="190" w:name="_Toc7672"/>
      <w:bookmarkStart w:id="191" w:name="_Toc5780"/>
      <w:r>
        <w:rPr>
          <w:rFonts w:hint="eastAsia" w:ascii="黑体" w:hAnsi="黑体" w:eastAsia="黑体" w:cs="Times New Roman"/>
          <w:bCs w:val="0"/>
          <w:kern w:val="0"/>
          <w:sz w:val="32"/>
          <w:szCs w:val="32"/>
          <w:lang w:val="en-US" w:eastAsia="zh-CN"/>
        </w:rPr>
        <w:t>3.2立地类型划分</w:t>
      </w:r>
      <w:bookmarkEnd w:id="189"/>
      <w:bookmarkEnd w:id="190"/>
      <w:bookmarkEnd w:id="191"/>
    </w:p>
    <w:p w14:paraId="44F3E33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192" w:name="_Toc8670"/>
      <w:bookmarkStart w:id="193" w:name="_Toc4249"/>
      <w:bookmarkStart w:id="194" w:name="_Toc15299"/>
      <w:bookmarkStart w:id="195" w:name="_Toc11530"/>
      <w:bookmarkStart w:id="196" w:name="_Toc17137"/>
      <w:r>
        <w:rPr>
          <w:rFonts w:hint="eastAsia" w:ascii="Times New Roman" w:hAnsi="Times New Roman" w:eastAsia="仿宋_GB2312" w:cs="Times New Roman"/>
          <w:bCs/>
          <w:kern w:val="0"/>
          <w:sz w:val="28"/>
          <w:szCs w:val="28"/>
          <w:lang w:val="en-US" w:eastAsia="zh-CN"/>
        </w:rPr>
        <w:t>按照中国森林立地分类和浙江省立地类型表，常山县属于浙中丘陵盆地立地类型区，结合常山县地形地貌及林分生长因子等现状，油茶造林选择低山丘陵，海拔600米以下或高差200米以下，坡度5-25度之间（确实难以避免可选用坡度25度以上地块），土层深厚的红壤或黄壤，排水良好的地块。</w:t>
      </w:r>
    </w:p>
    <w:p w14:paraId="2C290E8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基于此，根据技术规程、实施方案，结合项目建设区域实际，立地类型划分见下表：</w:t>
      </w:r>
      <w:bookmarkEnd w:id="192"/>
      <w:bookmarkEnd w:id="193"/>
      <w:bookmarkEnd w:id="194"/>
      <w:bookmarkEnd w:id="195"/>
      <w:bookmarkEnd w:id="196"/>
    </w:p>
    <w:p w14:paraId="749A3DBF">
      <w:pPr>
        <w:pStyle w:val="19"/>
        <w:pageBreakBefore w:val="0"/>
        <w:widowControl w:val="0"/>
        <w:kinsoku/>
        <w:wordWrap/>
        <w:overflowPunct/>
        <w:topLinePunct w:val="0"/>
        <w:bidi w:val="0"/>
        <w:spacing w:after="0"/>
        <w:ind w:firstLine="482"/>
        <w:jc w:val="center"/>
        <w:rPr>
          <w:rFonts w:hint="eastAsia" w:ascii="楷体" w:hAnsi="楷体" w:eastAsia="楷体" w:cs="楷体"/>
          <w:b/>
          <w:bCs/>
          <w:sz w:val="24"/>
          <w:szCs w:val="24"/>
        </w:rPr>
      </w:pPr>
      <w:r>
        <w:rPr>
          <w:rFonts w:hint="eastAsia" w:ascii="楷体" w:hAnsi="楷体" w:eastAsia="楷体" w:cs="楷体"/>
          <w:b/>
          <w:bCs/>
          <w:sz w:val="24"/>
          <w:szCs w:val="24"/>
        </w:rPr>
        <w:t>表3-</w:t>
      </w:r>
      <w:r>
        <w:rPr>
          <w:rFonts w:hint="eastAsia" w:ascii="楷体" w:hAnsi="楷体" w:eastAsia="楷体" w:cs="楷体"/>
          <w:b/>
          <w:bCs/>
          <w:sz w:val="24"/>
          <w:szCs w:val="24"/>
          <w:lang w:val="en-US" w:eastAsia="zh-CN"/>
        </w:rPr>
        <w:t>2</w:t>
      </w:r>
      <w:r>
        <w:rPr>
          <w:rFonts w:hint="eastAsia" w:ascii="楷体" w:hAnsi="楷体" w:eastAsia="楷体" w:cs="楷体"/>
          <w:b/>
          <w:bCs/>
          <w:sz w:val="24"/>
          <w:szCs w:val="24"/>
        </w:rPr>
        <w:t xml:space="preserve"> 油茶营造林立地类型划分表</w:t>
      </w:r>
    </w:p>
    <w:tbl>
      <w:tblPr>
        <w:tblStyle w:val="20"/>
        <w:tblW w:w="0" w:type="auto"/>
        <w:jc w:val="center"/>
        <w:tblLayout w:type="fixed"/>
        <w:tblCellMar>
          <w:top w:w="0" w:type="dxa"/>
          <w:left w:w="57" w:type="dxa"/>
          <w:bottom w:w="0" w:type="dxa"/>
          <w:right w:w="57" w:type="dxa"/>
        </w:tblCellMar>
      </w:tblPr>
      <w:tblGrid>
        <w:gridCol w:w="809"/>
        <w:gridCol w:w="974"/>
        <w:gridCol w:w="853"/>
        <w:gridCol w:w="840"/>
        <w:gridCol w:w="1455"/>
        <w:gridCol w:w="995"/>
        <w:gridCol w:w="553"/>
        <w:gridCol w:w="970"/>
        <w:gridCol w:w="971"/>
      </w:tblGrid>
      <w:tr w14:paraId="20CDD10E">
        <w:tblPrEx>
          <w:tblCellMar>
            <w:top w:w="0" w:type="dxa"/>
            <w:left w:w="57" w:type="dxa"/>
            <w:bottom w:w="0" w:type="dxa"/>
            <w:right w:w="57" w:type="dxa"/>
          </w:tblCellMar>
        </w:tblPrEx>
        <w:trPr>
          <w:trHeight w:val="373" w:hRule="atLeast"/>
          <w:tblHeader/>
          <w:jc w:val="center"/>
        </w:trPr>
        <w:tc>
          <w:tcPr>
            <w:tcW w:w="3476" w:type="dxa"/>
            <w:gridSpan w:val="4"/>
            <w:tcBorders>
              <w:top w:val="single" w:color="000000" w:sz="4" w:space="0"/>
              <w:left w:val="single" w:color="000000" w:sz="4" w:space="0"/>
              <w:bottom w:val="single" w:color="000000" w:sz="4" w:space="0"/>
              <w:right w:val="single" w:color="000000" w:sz="4" w:space="0"/>
            </w:tcBorders>
            <w:noWrap/>
            <w:vAlign w:val="center"/>
          </w:tcPr>
          <w:p w14:paraId="50207C18">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b/>
                <w:bCs/>
                <w:color w:val="000000"/>
                <w:spacing w:val="-11"/>
                <w:w w:val="95"/>
                <w:sz w:val="18"/>
                <w:szCs w:val="18"/>
              </w:rPr>
            </w:pPr>
            <w:r>
              <w:rPr>
                <w:rFonts w:hint="eastAsia" w:ascii="楷体" w:hAnsi="楷体" w:eastAsia="楷体" w:cs="楷体"/>
                <w:b/>
                <w:bCs/>
                <w:color w:val="000000"/>
                <w:spacing w:val="-11"/>
                <w:w w:val="95"/>
                <w:kern w:val="0"/>
                <w:sz w:val="18"/>
                <w:szCs w:val="18"/>
                <w:lang w:bidi="ar"/>
              </w:rPr>
              <w:t>划分因子</w:t>
            </w:r>
          </w:p>
        </w:tc>
        <w:tc>
          <w:tcPr>
            <w:tcW w:w="1455" w:type="dxa"/>
            <w:vMerge w:val="restart"/>
            <w:tcBorders>
              <w:top w:val="single" w:color="000000" w:sz="4" w:space="0"/>
              <w:left w:val="single" w:color="000000" w:sz="4" w:space="0"/>
              <w:bottom w:val="single" w:color="000000" w:sz="4" w:space="0"/>
              <w:right w:val="single" w:color="000000" w:sz="4" w:space="0"/>
            </w:tcBorders>
            <w:noWrap/>
            <w:vAlign w:val="center"/>
          </w:tcPr>
          <w:p w14:paraId="3F851457">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b/>
                <w:bCs/>
                <w:color w:val="000000"/>
                <w:spacing w:val="-11"/>
                <w:w w:val="95"/>
                <w:sz w:val="18"/>
                <w:szCs w:val="18"/>
              </w:rPr>
            </w:pPr>
            <w:r>
              <w:rPr>
                <w:rFonts w:hint="eastAsia" w:ascii="楷体" w:hAnsi="楷体" w:eastAsia="楷体" w:cs="楷体"/>
                <w:b/>
                <w:bCs/>
                <w:color w:val="000000"/>
                <w:spacing w:val="-11"/>
                <w:w w:val="95"/>
                <w:kern w:val="0"/>
                <w:sz w:val="18"/>
                <w:szCs w:val="18"/>
                <w:lang w:bidi="ar"/>
              </w:rPr>
              <w:t>主要植被</w:t>
            </w:r>
          </w:p>
        </w:tc>
        <w:tc>
          <w:tcPr>
            <w:tcW w:w="995" w:type="dxa"/>
            <w:vMerge w:val="restart"/>
            <w:tcBorders>
              <w:top w:val="single" w:color="000000" w:sz="4" w:space="0"/>
              <w:left w:val="single" w:color="000000" w:sz="4" w:space="0"/>
              <w:bottom w:val="single" w:color="000000" w:sz="4" w:space="0"/>
              <w:right w:val="single" w:color="000000" w:sz="4" w:space="0"/>
            </w:tcBorders>
            <w:noWrap/>
            <w:vAlign w:val="center"/>
          </w:tcPr>
          <w:p w14:paraId="03C124C1">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b/>
                <w:bCs/>
                <w:color w:val="000000"/>
                <w:spacing w:val="-11"/>
                <w:w w:val="95"/>
                <w:kern w:val="0"/>
                <w:sz w:val="18"/>
                <w:szCs w:val="18"/>
                <w:lang w:bidi="ar"/>
              </w:rPr>
            </w:pPr>
            <w:r>
              <w:rPr>
                <w:rFonts w:hint="eastAsia" w:ascii="楷体" w:hAnsi="楷体" w:eastAsia="楷体" w:cs="楷体"/>
                <w:b/>
                <w:bCs/>
                <w:color w:val="000000"/>
                <w:spacing w:val="-11"/>
                <w:w w:val="95"/>
                <w:kern w:val="0"/>
                <w:sz w:val="18"/>
                <w:szCs w:val="18"/>
                <w:lang w:bidi="ar"/>
              </w:rPr>
              <w:t>立地类型</w:t>
            </w:r>
          </w:p>
          <w:p w14:paraId="611D0351">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b/>
                <w:bCs/>
                <w:color w:val="000000"/>
                <w:spacing w:val="-11"/>
                <w:w w:val="95"/>
                <w:sz w:val="18"/>
                <w:szCs w:val="18"/>
              </w:rPr>
            </w:pPr>
            <w:r>
              <w:rPr>
                <w:rFonts w:hint="eastAsia" w:ascii="楷体" w:hAnsi="楷体" w:eastAsia="楷体" w:cs="楷体"/>
                <w:b/>
                <w:bCs/>
                <w:color w:val="000000"/>
                <w:spacing w:val="-11"/>
                <w:w w:val="95"/>
                <w:kern w:val="0"/>
                <w:sz w:val="18"/>
                <w:szCs w:val="18"/>
                <w:lang w:bidi="ar"/>
              </w:rPr>
              <w:t xml:space="preserve">名称 </w:t>
            </w:r>
          </w:p>
        </w:tc>
        <w:tc>
          <w:tcPr>
            <w:tcW w:w="553" w:type="dxa"/>
            <w:vMerge w:val="restart"/>
            <w:tcBorders>
              <w:top w:val="single" w:color="000000" w:sz="4" w:space="0"/>
              <w:left w:val="single" w:color="000000" w:sz="4" w:space="0"/>
              <w:bottom w:val="single" w:color="000000" w:sz="4" w:space="0"/>
              <w:right w:val="single" w:color="000000" w:sz="4" w:space="0"/>
            </w:tcBorders>
            <w:vAlign w:val="center"/>
          </w:tcPr>
          <w:p w14:paraId="01AF12E9">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b/>
                <w:bCs/>
                <w:color w:val="000000"/>
                <w:spacing w:val="-11"/>
                <w:w w:val="95"/>
                <w:sz w:val="18"/>
                <w:szCs w:val="18"/>
              </w:rPr>
            </w:pPr>
            <w:r>
              <w:rPr>
                <w:rFonts w:hint="eastAsia" w:ascii="楷体" w:hAnsi="楷体" w:eastAsia="楷体" w:cs="楷体"/>
                <w:b/>
                <w:bCs/>
                <w:color w:val="000000"/>
                <w:spacing w:val="-11"/>
                <w:w w:val="95"/>
                <w:kern w:val="0"/>
                <w:sz w:val="18"/>
                <w:szCs w:val="18"/>
                <w:lang w:bidi="ar"/>
              </w:rPr>
              <w:t>立地类型编号</w:t>
            </w:r>
          </w:p>
        </w:tc>
        <w:tc>
          <w:tcPr>
            <w:tcW w:w="970" w:type="dxa"/>
            <w:vMerge w:val="restart"/>
            <w:tcBorders>
              <w:top w:val="single" w:color="000000" w:sz="4" w:space="0"/>
              <w:left w:val="single" w:color="000000" w:sz="4" w:space="0"/>
              <w:bottom w:val="single" w:color="000000" w:sz="4" w:space="0"/>
              <w:right w:val="single" w:color="000000" w:sz="4" w:space="0"/>
            </w:tcBorders>
            <w:vAlign w:val="center"/>
          </w:tcPr>
          <w:p w14:paraId="557B715F">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b/>
                <w:bCs/>
                <w:color w:val="000000"/>
                <w:spacing w:val="-11"/>
                <w:w w:val="95"/>
                <w:kern w:val="0"/>
                <w:sz w:val="18"/>
                <w:szCs w:val="18"/>
                <w:lang w:bidi="ar"/>
              </w:rPr>
            </w:pPr>
            <w:r>
              <w:rPr>
                <w:rFonts w:hint="eastAsia" w:ascii="楷体" w:hAnsi="楷体" w:eastAsia="楷体" w:cs="楷体"/>
                <w:b/>
                <w:bCs/>
                <w:color w:val="000000"/>
                <w:spacing w:val="-11"/>
                <w:w w:val="95"/>
                <w:kern w:val="0"/>
                <w:sz w:val="18"/>
                <w:szCs w:val="18"/>
                <w:lang w:bidi="ar"/>
              </w:rPr>
              <w:t>高标准新造</w:t>
            </w:r>
          </w:p>
          <w:p w14:paraId="5137AC37">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b/>
                <w:bCs/>
                <w:color w:val="000000"/>
                <w:spacing w:val="-11"/>
                <w:w w:val="95"/>
                <w:sz w:val="18"/>
                <w:szCs w:val="18"/>
              </w:rPr>
            </w:pPr>
            <w:r>
              <w:rPr>
                <w:rFonts w:hint="eastAsia" w:ascii="楷体" w:hAnsi="楷体" w:eastAsia="楷体" w:cs="楷体"/>
                <w:b/>
                <w:bCs/>
                <w:color w:val="000000"/>
                <w:spacing w:val="-11"/>
                <w:w w:val="95"/>
                <w:kern w:val="0"/>
                <w:sz w:val="18"/>
                <w:szCs w:val="18"/>
                <w:lang w:bidi="ar"/>
              </w:rPr>
              <w:t>品种选择</w:t>
            </w:r>
          </w:p>
        </w:tc>
        <w:tc>
          <w:tcPr>
            <w:tcW w:w="971" w:type="dxa"/>
            <w:vMerge w:val="restart"/>
            <w:tcBorders>
              <w:top w:val="single" w:color="000000" w:sz="4" w:space="0"/>
              <w:left w:val="single" w:color="000000" w:sz="4" w:space="0"/>
              <w:bottom w:val="single" w:color="000000" w:sz="4" w:space="0"/>
              <w:right w:val="single" w:color="000000" w:sz="4" w:space="0"/>
            </w:tcBorders>
            <w:noWrap/>
            <w:vAlign w:val="center"/>
          </w:tcPr>
          <w:p w14:paraId="526FB98B">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b/>
                <w:bCs/>
                <w:color w:val="000000"/>
                <w:spacing w:val="-11"/>
                <w:w w:val="95"/>
                <w:sz w:val="18"/>
                <w:szCs w:val="18"/>
              </w:rPr>
            </w:pPr>
            <w:r>
              <w:rPr>
                <w:rFonts w:hint="eastAsia" w:ascii="楷体" w:hAnsi="楷体" w:eastAsia="楷体" w:cs="楷体"/>
                <w:b/>
                <w:bCs/>
                <w:color w:val="000000"/>
                <w:spacing w:val="-11"/>
                <w:w w:val="95"/>
                <w:kern w:val="0"/>
                <w:sz w:val="18"/>
                <w:szCs w:val="18"/>
                <w:lang w:bidi="ar"/>
              </w:rPr>
              <w:t>整地方式</w:t>
            </w:r>
          </w:p>
        </w:tc>
      </w:tr>
      <w:tr w14:paraId="5A339742">
        <w:tblPrEx>
          <w:tblCellMar>
            <w:top w:w="0" w:type="dxa"/>
            <w:left w:w="57" w:type="dxa"/>
            <w:bottom w:w="0" w:type="dxa"/>
            <w:right w:w="57" w:type="dxa"/>
          </w:tblCellMar>
        </w:tblPrEx>
        <w:trPr>
          <w:trHeight w:val="471" w:hRule="atLeast"/>
          <w:tblHeader/>
          <w:jc w:val="center"/>
        </w:trPr>
        <w:tc>
          <w:tcPr>
            <w:tcW w:w="809" w:type="dxa"/>
            <w:tcBorders>
              <w:top w:val="single" w:color="000000" w:sz="4" w:space="0"/>
              <w:left w:val="single" w:color="000000" w:sz="4" w:space="0"/>
              <w:bottom w:val="single" w:color="000000" w:sz="4" w:space="0"/>
              <w:right w:val="single" w:color="000000" w:sz="4" w:space="0"/>
            </w:tcBorders>
            <w:noWrap/>
            <w:vAlign w:val="center"/>
          </w:tcPr>
          <w:p w14:paraId="60B3FD99">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b/>
                <w:bCs/>
                <w:color w:val="000000"/>
                <w:spacing w:val="-11"/>
                <w:w w:val="95"/>
                <w:sz w:val="18"/>
                <w:szCs w:val="18"/>
              </w:rPr>
            </w:pPr>
            <w:r>
              <w:rPr>
                <w:rFonts w:hint="eastAsia" w:ascii="楷体" w:hAnsi="楷体" w:eastAsia="楷体" w:cs="楷体"/>
                <w:b/>
                <w:bCs/>
                <w:color w:val="000000"/>
                <w:spacing w:val="-11"/>
                <w:w w:val="95"/>
                <w:kern w:val="0"/>
                <w:sz w:val="18"/>
                <w:szCs w:val="18"/>
                <w:lang w:bidi="ar"/>
              </w:rPr>
              <w:t>地形</w:t>
            </w:r>
          </w:p>
        </w:tc>
        <w:tc>
          <w:tcPr>
            <w:tcW w:w="974" w:type="dxa"/>
            <w:tcBorders>
              <w:top w:val="single" w:color="000000" w:sz="4" w:space="0"/>
              <w:left w:val="single" w:color="000000" w:sz="4" w:space="0"/>
              <w:bottom w:val="single" w:color="000000" w:sz="4" w:space="0"/>
              <w:right w:val="single" w:color="000000" w:sz="4" w:space="0"/>
            </w:tcBorders>
            <w:noWrap/>
            <w:vAlign w:val="center"/>
          </w:tcPr>
          <w:p w14:paraId="1656625A">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b/>
                <w:bCs/>
                <w:color w:val="000000"/>
                <w:spacing w:val="-11"/>
                <w:w w:val="95"/>
                <w:sz w:val="18"/>
                <w:szCs w:val="18"/>
              </w:rPr>
            </w:pPr>
            <w:r>
              <w:rPr>
                <w:rFonts w:hint="eastAsia" w:ascii="楷体" w:hAnsi="楷体" w:eastAsia="楷体" w:cs="楷体"/>
                <w:b/>
                <w:bCs/>
                <w:color w:val="000000"/>
                <w:spacing w:val="-11"/>
                <w:w w:val="95"/>
                <w:kern w:val="0"/>
                <w:sz w:val="18"/>
                <w:szCs w:val="18"/>
                <w:lang w:bidi="ar"/>
              </w:rPr>
              <w:t>坡度（度）</w:t>
            </w:r>
          </w:p>
        </w:tc>
        <w:tc>
          <w:tcPr>
            <w:tcW w:w="853" w:type="dxa"/>
            <w:tcBorders>
              <w:top w:val="single" w:color="000000" w:sz="4" w:space="0"/>
              <w:left w:val="single" w:color="000000" w:sz="4" w:space="0"/>
              <w:bottom w:val="single" w:color="000000" w:sz="4" w:space="0"/>
              <w:right w:val="single" w:color="000000" w:sz="4" w:space="0"/>
            </w:tcBorders>
            <w:noWrap/>
            <w:vAlign w:val="center"/>
          </w:tcPr>
          <w:p w14:paraId="5182F7CD">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b/>
                <w:bCs/>
                <w:color w:val="000000"/>
                <w:spacing w:val="-11"/>
                <w:w w:val="95"/>
                <w:sz w:val="18"/>
                <w:szCs w:val="18"/>
              </w:rPr>
            </w:pPr>
            <w:r>
              <w:rPr>
                <w:rFonts w:hint="eastAsia" w:ascii="楷体" w:hAnsi="楷体" w:eastAsia="楷体" w:cs="楷体"/>
                <w:b/>
                <w:bCs/>
                <w:color w:val="000000"/>
                <w:spacing w:val="-11"/>
                <w:w w:val="95"/>
                <w:kern w:val="0"/>
                <w:sz w:val="18"/>
                <w:szCs w:val="18"/>
                <w:lang w:bidi="ar"/>
              </w:rPr>
              <w:t>土壤类型</w:t>
            </w:r>
          </w:p>
        </w:tc>
        <w:tc>
          <w:tcPr>
            <w:tcW w:w="840" w:type="dxa"/>
            <w:tcBorders>
              <w:top w:val="single" w:color="000000" w:sz="4" w:space="0"/>
              <w:left w:val="single" w:color="000000" w:sz="4" w:space="0"/>
              <w:bottom w:val="single" w:color="000000" w:sz="4" w:space="0"/>
              <w:right w:val="single" w:color="000000" w:sz="4" w:space="0"/>
            </w:tcBorders>
            <w:noWrap/>
            <w:vAlign w:val="center"/>
          </w:tcPr>
          <w:p w14:paraId="44DBA831">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b/>
                <w:bCs/>
                <w:color w:val="000000"/>
                <w:spacing w:val="-11"/>
                <w:w w:val="95"/>
                <w:sz w:val="18"/>
                <w:szCs w:val="18"/>
              </w:rPr>
            </w:pPr>
            <w:r>
              <w:rPr>
                <w:rFonts w:hint="eastAsia" w:ascii="楷体" w:hAnsi="楷体" w:eastAsia="楷体" w:cs="楷体"/>
                <w:b/>
                <w:bCs/>
                <w:color w:val="000000"/>
                <w:spacing w:val="-11"/>
                <w:w w:val="95"/>
                <w:kern w:val="0"/>
                <w:sz w:val="18"/>
                <w:szCs w:val="18"/>
                <w:lang w:bidi="ar"/>
              </w:rPr>
              <w:t>土厚（cm）</w:t>
            </w:r>
          </w:p>
        </w:tc>
        <w:tc>
          <w:tcPr>
            <w:tcW w:w="1455" w:type="dxa"/>
            <w:vMerge w:val="continue"/>
            <w:tcBorders>
              <w:top w:val="single" w:color="000000" w:sz="4" w:space="0"/>
              <w:left w:val="single" w:color="000000" w:sz="4" w:space="0"/>
              <w:bottom w:val="single" w:color="000000" w:sz="4" w:space="0"/>
              <w:right w:val="single" w:color="000000" w:sz="4" w:space="0"/>
            </w:tcBorders>
            <w:noWrap/>
            <w:vAlign w:val="center"/>
          </w:tcPr>
          <w:p w14:paraId="49B7EBA0">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rPr>
                <w:rFonts w:hint="eastAsia" w:ascii="楷体" w:hAnsi="楷体" w:eastAsia="楷体" w:cs="楷体"/>
                <w:b/>
                <w:bCs/>
                <w:color w:val="000000"/>
                <w:spacing w:val="-11"/>
                <w:w w:val="95"/>
                <w:sz w:val="18"/>
                <w:szCs w:val="18"/>
              </w:rPr>
            </w:pPr>
          </w:p>
        </w:tc>
        <w:tc>
          <w:tcPr>
            <w:tcW w:w="995" w:type="dxa"/>
            <w:vMerge w:val="continue"/>
            <w:tcBorders>
              <w:top w:val="single" w:color="000000" w:sz="4" w:space="0"/>
              <w:left w:val="single" w:color="000000" w:sz="4" w:space="0"/>
              <w:bottom w:val="single" w:color="000000" w:sz="4" w:space="0"/>
              <w:right w:val="single" w:color="000000" w:sz="4" w:space="0"/>
            </w:tcBorders>
            <w:noWrap/>
            <w:vAlign w:val="center"/>
          </w:tcPr>
          <w:p w14:paraId="306330DA">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rPr>
                <w:rFonts w:hint="eastAsia" w:ascii="楷体" w:hAnsi="楷体" w:eastAsia="楷体" w:cs="楷体"/>
                <w:b/>
                <w:bCs/>
                <w:color w:val="000000"/>
                <w:spacing w:val="-11"/>
                <w:w w:val="95"/>
                <w:sz w:val="18"/>
                <w:szCs w:val="18"/>
              </w:rPr>
            </w:pPr>
          </w:p>
        </w:tc>
        <w:tc>
          <w:tcPr>
            <w:tcW w:w="553" w:type="dxa"/>
            <w:vMerge w:val="continue"/>
            <w:tcBorders>
              <w:top w:val="single" w:color="000000" w:sz="4" w:space="0"/>
              <w:left w:val="single" w:color="000000" w:sz="4" w:space="0"/>
              <w:bottom w:val="single" w:color="000000" w:sz="4" w:space="0"/>
              <w:right w:val="single" w:color="000000" w:sz="4" w:space="0"/>
            </w:tcBorders>
            <w:vAlign w:val="center"/>
          </w:tcPr>
          <w:p w14:paraId="1CF6D258">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rPr>
                <w:rFonts w:hint="eastAsia" w:ascii="楷体" w:hAnsi="楷体" w:eastAsia="楷体" w:cs="楷体"/>
                <w:b/>
                <w:bCs/>
                <w:color w:val="000000"/>
                <w:spacing w:val="-11"/>
                <w:w w:val="95"/>
                <w:sz w:val="18"/>
                <w:szCs w:val="18"/>
              </w:rPr>
            </w:pPr>
          </w:p>
        </w:tc>
        <w:tc>
          <w:tcPr>
            <w:tcW w:w="970" w:type="dxa"/>
            <w:vMerge w:val="continue"/>
            <w:tcBorders>
              <w:top w:val="single" w:color="000000" w:sz="4" w:space="0"/>
              <w:left w:val="single" w:color="000000" w:sz="4" w:space="0"/>
              <w:bottom w:val="single" w:color="000000" w:sz="4" w:space="0"/>
              <w:right w:val="single" w:color="000000" w:sz="4" w:space="0"/>
            </w:tcBorders>
            <w:vAlign w:val="center"/>
          </w:tcPr>
          <w:p w14:paraId="1A8F28DE">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rPr>
                <w:rFonts w:hint="eastAsia" w:ascii="楷体" w:hAnsi="楷体" w:eastAsia="楷体" w:cs="楷体"/>
                <w:b/>
                <w:bCs/>
                <w:color w:val="000000"/>
                <w:spacing w:val="-11"/>
                <w:w w:val="95"/>
                <w:sz w:val="18"/>
                <w:szCs w:val="18"/>
              </w:rPr>
            </w:pPr>
          </w:p>
        </w:tc>
        <w:tc>
          <w:tcPr>
            <w:tcW w:w="971" w:type="dxa"/>
            <w:vMerge w:val="continue"/>
            <w:tcBorders>
              <w:top w:val="single" w:color="000000" w:sz="4" w:space="0"/>
              <w:left w:val="single" w:color="000000" w:sz="4" w:space="0"/>
              <w:bottom w:val="single" w:color="000000" w:sz="4" w:space="0"/>
              <w:right w:val="single" w:color="000000" w:sz="4" w:space="0"/>
            </w:tcBorders>
            <w:noWrap/>
            <w:vAlign w:val="center"/>
          </w:tcPr>
          <w:p w14:paraId="5D04DB98">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rPr>
                <w:rFonts w:hint="eastAsia" w:ascii="楷体" w:hAnsi="楷体" w:eastAsia="楷体" w:cs="楷体"/>
                <w:b/>
                <w:bCs/>
                <w:color w:val="000000"/>
                <w:spacing w:val="-11"/>
                <w:w w:val="95"/>
                <w:sz w:val="18"/>
                <w:szCs w:val="18"/>
              </w:rPr>
            </w:pPr>
          </w:p>
        </w:tc>
      </w:tr>
      <w:tr w14:paraId="0729ADFD">
        <w:tblPrEx>
          <w:tblCellMar>
            <w:top w:w="0" w:type="dxa"/>
            <w:left w:w="57" w:type="dxa"/>
            <w:bottom w:w="0" w:type="dxa"/>
            <w:right w:w="57" w:type="dxa"/>
          </w:tblCellMar>
        </w:tblPrEx>
        <w:trPr>
          <w:trHeight w:val="588" w:hRule="atLeast"/>
          <w:jc w:val="center"/>
        </w:trPr>
        <w:tc>
          <w:tcPr>
            <w:tcW w:w="809" w:type="dxa"/>
            <w:vMerge w:val="restart"/>
            <w:tcBorders>
              <w:top w:val="single" w:color="000000" w:sz="4" w:space="0"/>
              <w:left w:val="single" w:color="000000" w:sz="4" w:space="0"/>
              <w:right w:val="single" w:color="000000" w:sz="4" w:space="0"/>
            </w:tcBorders>
            <w:vAlign w:val="center"/>
          </w:tcPr>
          <w:p w14:paraId="225CCC89">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低山（海拔500～800米的山地）</w:t>
            </w:r>
          </w:p>
        </w:tc>
        <w:tc>
          <w:tcPr>
            <w:tcW w:w="974" w:type="dxa"/>
            <w:tcBorders>
              <w:top w:val="single" w:color="000000" w:sz="4" w:space="0"/>
              <w:left w:val="single" w:color="000000" w:sz="4" w:space="0"/>
              <w:bottom w:val="single" w:color="000000" w:sz="4" w:space="0"/>
              <w:right w:val="single" w:color="000000" w:sz="4" w:space="0"/>
            </w:tcBorders>
            <w:vAlign w:val="center"/>
          </w:tcPr>
          <w:p w14:paraId="57F8E174">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缓坡（6-15）</w:t>
            </w:r>
          </w:p>
        </w:tc>
        <w:tc>
          <w:tcPr>
            <w:tcW w:w="853" w:type="dxa"/>
            <w:tcBorders>
              <w:top w:val="single" w:color="000000" w:sz="4" w:space="0"/>
              <w:left w:val="single" w:color="000000" w:sz="4" w:space="0"/>
              <w:bottom w:val="single" w:color="000000" w:sz="4" w:space="0"/>
              <w:right w:val="single" w:color="000000" w:sz="4" w:space="0"/>
            </w:tcBorders>
            <w:vAlign w:val="center"/>
          </w:tcPr>
          <w:p w14:paraId="7C6FA037">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红壤、黄壤</w:t>
            </w:r>
          </w:p>
        </w:tc>
        <w:tc>
          <w:tcPr>
            <w:tcW w:w="840" w:type="dxa"/>
            <w:tcBorders>
              <w:top w:val="single" w:color="000000" w:sz="4" w:space="0"/>
              <w:left w:val="single" w:color="000000" w:sz="4" w:space="0"/>
              <w:bottom w:val="single" w:color="000000" w:sz="4" w:space="0"/>
              <w:right w:val="single" w:color="000000" w:sz="4" w:space="0"/>
            </w:tcBorders>
            <w:vAlign w:val="center"/>
          </w:tcPr>
          <w:p w14:paraId="0DC42DAC">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厚层土</w:t>
            </w:r>
          </w:p>
          <w:p w14:paraId="14A58EF9">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lang w:eastAsia="zh-CN"/>
              </w:rPr>
            </w:pPr>
            <w:r>
              <w:rPr>
                <w:rFonts w:hint="eastAsia" w:ascii="楷体" w:hAnsi="楷体" w:eastAsia="楷体" w:cs="楷体"/>
                <w:color w:val="000000"/>
                <w:spacing w:val="-11"/>
                <w:w w:val="95"/>
                <w:kern w:val="0"/>
                <w:sz w:val="18"/>
                <w:szCs w:val="18"/>
                <w:lang w:eastAsia="zh-CN" w:bidi="ar"/>
              </w:rPr>
              <w:t>（</w:t>
            </w:r>
            <w:r>
              <w:rPr>
                <w:rFonts w:hint="eastAsia" w:ascii="楷体" w:hAnsi="楷体" w:eastAsia="楷体" w:cs="楷体"/>
                <w:color w:val="000000"/>
                <w:spacing w:val="-11"/>
                <w:w w:val="95"/>
                <w:kern w:val="0"/>
                <w:sz w:val="18"/>
                <w:szCs w:val="18"/>
                <w:lang w:bidi="ar"/>
              </w:rPr>
              <w:t>≥80</w:t>
            </w:r>
            <w:r>
              <w:rPr>
                <w:rFonts w:hint="eastAsia" w:ascii="楷体" w:hAnsi="楷体" w:eastAsia="楷体" w:cs="楷体"/>
                <w:color w:val="000000"/>
                <w:spacing w:val="-11"/>
                <w:w w:val="95"/>
                <w:kern w:val="0"/>
                <w:sz w:val="18"/>
                <w:szCs w:val="18"/>
                <w:lang w:eastAsia="zh-CN" w:bidi="ar"/>
              </w:rPr>
              <w:t>）</w:t>
            </w:r>
          </w:p>
        </w:tc>
        <w:tc>
          <w:tcPr>
            <w:tcW w:w="1455" w:type="dxa"/>
            <w:tcBorders>
              <w:top w:val="single" w:color="000000" w:sz="4" w:space="0"/>
              <w:left w:val="single" w:color="000000" w:sz="4" w:space="0"/>
              <w:bottom w:val="single" w:color="000000" w:sz="4" w:space="0"/>
              <w:right w:val="single" w:color="000000" w:sz="4" w:space="0"/>
            </w:tcBorders>
            <w:vAlign w:val="center"/>
          </w:tcPr>
          <w:p w14:paraId="6638D6E6">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杉木、马尾松、毛竹、</w:t>
            </w:r>
            <w:r>
              <w:rPr>
                <w:rFonts w:hint="eastAsia" w:ascii="楷体" w:hAnsi="楷体" w:eastAsia="楷体" w:cs="楷体"/>
                <w:color w:val="000000"/>
                <w:spacing w:val="-11"/>
                <w:w w:val="95"/>
                <w:kern w:val="0"/>
                <w:sz w:val="18"/>
                <w:szCs w:val="18"/>
                <w:lang w:val="en-US" w:eastAsia="zh-CN" w:bidi="ar"/>
              </w:rPr>
              <w:t>阔叶树、</w:t>
            </w:r>
            <w:r>
              <w:rPr>
                <w:rFonts w:hint="eastAsia" w:ascii="楷体" w:hAnsi="楷体" w:eastAsia="楷体" w:cs="楷体"/>
                <w:color w:val="000000"/>
                <w:spacing w:val="-11"/>
                <w:w w:val="95"/>
                <w:kern w:val="0"/>
                <w:sz w:val="18"/>
                <w:szCs w:val="18"/>
                <w:lang w:bidi="ar"/>
              </w:rPr>
              <w:t>蕨类</w:t>
            </w:r>
            <w:r>
              <w:rPr>
                <w:rFonts w:hint="eastAsia" w:ascii="楷体" w:hAnsi="楷体" w:eastAsia="楷体" w:cs="楷体"/>
                <w:color w:val="000000"/>
                <w:spacing w:val="-11"/>
                <w:w w:val="95"/>
                <w:kern w:val="0"/>
                <w:sz w:val="18"/>
                <w:szCs w:val="18"/>
                <w:lang w:val="en-US" w:eastAsia="zh-CN" w:bidi="ar"/>
              </w:rPr>
              <w:t>等</w:t>
            </w:r>
          </w:p>
        </w:tc>
        <w:tc>
          <w:tcPr>
            <w:tcW w:w="995" w:type="dxa"/>
            <w:tcBorders>
              <w:top w:val="single" w:color="000000" w:sz="4" w:space="0"/>
              <w:left w:val="single" w:color="000000" w:sz="4" w:space="0"/>
              <w:bottom w:val="single" w:color="000000" w:sz="4" w:space="0"/>
              <w:right w:val="single" w:color="000000" w:sz="4" w:space="0"/>
            </w:tcBorders>
            <w:vAlign w:val="center"/>
          </w:tcPr>
          <w:p w14:paraId="693C9FD1">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低山缓坡厚土立地类型</w:t>
            </w:r>
          </w:p>
        </w:tc>
        <w:tc>
          <w:tcPr>
            <w:tcW w:w="553" w:type="dxa"/>
            <w:tcBorders>
              <w:top w:val="single" w:color="000000" w:sz="4" w:space="0"/>
              <w:left w:val="single" w:color="000000" w:sz="4" w:space="0"/>
              <w:bottom w:val="single" w:color="000000" w:sz="4" w:space="0"/>
              <w:right w:val="single" w:color="000000" w:sz="4" w:space="0"/>
            </w:tcBorders>
            <w:vAlign w:val="center"/>
          </w:tcPr>
          <w:p w14:paraId="55C443FE">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Ⅰ2</w:t>
            </w:r>
          </w:p>
        </w:tc>
        <w:tc>
          <w:tcPr>
            <w:tcW w:w="970" w:type="dxa"/>
            <w:tcBorders>
              <w:top w:val="single" w:color="000000" w:sz="4" w:space="0"/>
              <w:left w:val="single" w:color="000000" w:sz="4" w:space="0"/>
              <w:bottom w:val="single" w:color="000000" w:sz="4" w:space="0"/>
              <w:right w:val="single" w:color="000000" w:sz="4" w:space="0"/>
            </w:tcBorders>
            <w:vAlign w:val="center"/>
          </w:tcPr>
          <w:p w14:paraId="0F9F3C2A">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left"/>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长林53号、长林40号、长林4号</w:t>
            </w:r>
          </w:p>
        </w:tc>
        <w:tc>
          <w:tcPr>
            <w:tcW w:w="971" w:type="dxa"/>
            <w:tcBorders>
              <w:top w:val="single" w:color="000000" w:sz="4" w:space="0"/>
              <w:left w:val="single" w:color="000000" w:sz="4" w:space="0"/>
              <w:bottom w:val="single" w:color="000000" w:sz="4" w:space="0"/>
              <w:right w:val="single" w:color="000000" w:sz="4" w:space="0"/>
            </w:tcBorders>
            <w:vAlign w:val="center"/>
          </w:tcPr>
          <w:p w14:paraId="2DCA4228">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水平开梯</w:t>
            </w:r>
          </w:p>
          <w:p w14:paraId="7975BFC9">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（梯面3-6m）</w:t>
            </w:r>
          </w:p>
        </w:tc>
      </w:tr>
      <w:tr w14:paraId="61E6B5EB">
        <w:tblPrEx>
          <w:tblCellMar>
            <w:top w:w="0" w:type="dxa"/>
            <w:left w:w="57" w:type="dxa"/>
            <w:bottom w:w="0" w:type="dxa"/>
            <w:right w:w="57" w:type="dxa"/>
          </w:tblCellMar>
        </w:tblPrEx>
        <w:trPr>
          <w:trHeight w:val="588" w:hRule="atLeast"/>
          <w:jc w:val="center"/>
        </w:trPr>
        <w:tc>
          <w:tcPr>
            <w:tcW w:w="809" w:type="dxa"/>
            <w:vMerge w:val="continue"/>
            <w:tcBorders>
              <w:left w:val="single" w:color="000000" w:sz="4" w:space="0"/>
              <w:right w:val="single" w:color="000000" w:sz="4" w:space="0"/>
            </w:tcBorders>
            <w:vAlign w:val="center"/>
          </w:tcPr>
          <w:p w14:paraId="14A171B6">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rPr>
                <w:rFonts w:hint="eastAsia" w:ascii="楷体" w:hAnsi="楷体" w:eastAsia="楷体" w:cs="楷体"/>
                <w:color w:val="000000"/>
                <w:spacing w:val="-11"/>
                <w:w w:val="95"/>
                <w:sz w:val="18"/>
                <w:szCs w:val="18"/>
              </w:rPr>
            </w:pPr>
          </w:p>
        </w:tc>
        <w:tc>
          <w:tcPr>
            <w:tcW w:w="974" w:type="dxa"/>
            <w:tcBorders>
              <w:top w:val="single" w:color="000000" w:sz="4" w:space="0"/>
              <w:left w:val="single" w:color="000000" w:sz="4" w:space="0"/>
              <w:bottom w:val="single" w:color="000000" w:sz="4" w:space="0"/>
              <w:right w:val="single" w:color="000000" w:sz="4" w:space="0"/>
            </w:tcBorders>
            <w:vAlign w:val="center"/>
          </w:tcPr>
          <w:p w14:paraId="0AD3C926">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斜坡（16-25）</w:t>
            </w:r>
          </w:p>
        </w:tc>
        <w:tc>
          <w:tcPr>
            <w:tcW w:w="853" w:type="dxa"/>
            <w:tcBorders>
              <w:top w:val="single" w:color="000000" w:sz="4" w:space="0"/>
              <w:left w:val="single" w:color="000000" w:sz="4" w:space="0"/>
              <w:bottom w:val="single" w:color="000000" w:sz="4" w:space="0"/>
              <w:right w:val="single" w:color="000000" w:sz="4" w:space="0"/>
            </w:tcBorders>
            <w:vAlign w:val="center"/>
          </w:tcPr>
          <w:p w14:paraId="138CEDC9">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红壤、黄壤</w:t>
            </w:r>
          </w:p>
        </w:tc>
        <w:tc>
          <w:tcPr>
            <w:tcW w:w="840" w:type="dxa"/>
            <w:tcBorders>
              <w:top w:val="single" w:color="000000" w:sz="4" w:space="0"/>
              <w:left w:val="single" w:color="000000" w:sz="4" w:space="0"/>
              <w:bottom w:val="single" w:color="000000" w:sz="4" w:space="0"/>
              <w:right w:val="single" w:color="000000" w:sz="4" w:space="0"/>
            </w:tcBorders>
            <w:vAlign w:val="center"/>
          </w:tcPr>
          <w:p w14:paraId="18AA32F8">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厚层土</w:t>
            </w:r>
          </w:p>
          <w:p w14:paraId="5E5D2F24">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lang w:eastAsia="zh-CN"/>
              </w:rPr>
            </w:pPr>
            <w:r>
              <w:rPr>
                <w:rFonts w:hint="eastAsia" w:ascii="楷体" w:hAnsi="楷体" w:eastAsia="楷体" w:cs="楷体"/>
                <w:color w:val="000000"/>
                <w:spacing w:val="-11"/>
                <w:w w:val="95"/>
                <w:kern w:val="0"/>
                <w:sz w:val="18"/>
                <w:szCs w:val="18"/>
                <w:lang w:eastAsia="zh-CN" w:bidi="ar"/>
              </w:rPr>
              <w:t>（</w:t>
            </w:r>
            <w:r>
              <w:rPr>
                <w:rFonts w:hint="eastAsia" w:ascii="楷体" w:hAnsi="楷体" w:eastAsia="楷体" w:cs="楷体"/>
                <w:color w:val="000000"/>
                <w:spacing w:val="-11"/>
                <w:w w:val="95"/>
                <w:kern w:val="0"/>
                <w:sz w:val="18"/>
                <w:szCs w:val="18"/>
                <w:lang w:bidi="ar"/>
              </w:rPr>
              <w:t>≥80</w:t>
            </w:r>
            <w:r>
              <w:rPr>
                <w:rFonts w:hint="eastAsia" w:ascii="楷体" w:hAnsi="楷体" w:eastAsia="楷体" w:cs="楷体"/>
                <w:color w:val="000000"/>
                <w:spacing w:val="-11"/>
                <w:w w:val="95"/>
                <w:kern w:val="0"/>
                <w:sz w:val="18"/>
                <w:szCs w:val="18"/>
                <w:lang w:eastAsia="zh-CN" w:bidi="ar"/>
              </w:rPr>
              <w:t>）</w:t>
            </w:r>
          </w:p>
        </w:tc>
        <w:tc>
          <w:tcPr>
            <w:tcW w:w="1455" w:type="dxa"/>
            <w:tcBorders>
              <w:top w:val="single" w:color="000000" w:sz="4" w:space="0"/>
              <w:left w:val="single" w:color="000000" w:sz="4" w:space="0"/>
              <w:bottom w:val="single" w:color="000000" w:sz="4" w:space="0"/>
              <w:right w:val="single" w:color="000000" w:sz="4" w:space="0"/>
            </w:tcBorders>
            <w:vAlign w:val="center"/>
          </w:tcPr>
          <w:p w14:paraId="7BCFC3B4">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杉木、马尾松、毛竹、</w:t>
            </w:r>
            <w:r>
              <w:rPr>
                <w:rFonts w:hint="eastAsia" w:ascii="楷体" w:hAnsi="楷体" w:eastAsia="楷体" w:cs="楷体"/>
                <w:color w:val="000000"/>
                <w:spacing w:val="-11"/>
                <w:w w:val="95"/>
                <w:kern w:val="0"/>
                <w:sz w:val="18"/>
                <w:szCs w:val="18"/>
                <w:lang w:val="en-US" w:eastAsia="zh-CN" w:bidi="ar"/>
              </w:rPr>
              <w:t>阔叶树、</w:t>
            </w:r>
            <w:r>
              <w:rPr>
                <w:rFonts w:hint="eastAsia" w:ascii="楷体" w:hAnsi="楷体" w:eastAsia="楷体" w:cs="楷体"/>
                <w:color w:val="000000"/>
                <w:spacing w:val="-11"/>
                <w:w w:val="95"/>
                <w:kern w:val="0"/>
                <w:sz w:val="18"/>
                <w:szCs w:val="18"/>
                <w:lang w:bidi="ar"/>
              </w:rPr>
              <w:t>蕨类</w:t>
            </w:r>
            <w:r>
              <w:rPr>
                <w:rFonts w:hint="eastAsia" w:ascii="楷体" w:hAnsi="楷体" w:eastAsia="楷体" w:cs="楷体"/>
                <w:color w:val="000000"/>
                <w:spacing w:val="-11"/>
                <w:w w:val="95"/>
                <w:kern w:val="0"/>
                <w:sz w:val="18"/>
                <w:szCs w:val="18"/>
                <w:lang w:val="en-US" w:eastAsia="zh-CN" w:bidi="ar"/>
              </w:rPr>
              <w:t>等</w:t>
            </w:r>
          </w:p>
        </w:tc>
        <w:tc>
          <w:tcPr>
            <w:tcW w:w="995" w:type="dxa"/>
            <w:tcBorders>
              <w:top w:val="single" w:color="000000" w:sz="4" w:space="0"/>
              <w:left w:val="single" w:color="000000" w:sz="4" w:space="0"/>
              <w:bottom w:val="single" w:color="000000" w:sz="4" w:space="0"/>
              <w:right w:val="single" w:color="000000" w:sz="4" w:space="0"/>
            </w:tcBorders>
            <w:vAlign w:val="center"/>
          </w:tcPr>
          <w:p w14:paraId="0EF5FF85">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低山斜坡厚土立地类型</w:t>
            </w:r>
          </w:p>
        </w:tc>
        <w:tc>
          <w:tcPr>
            <w:tcW w:w="553" w:type="dxa"/>
            <w:tcBorders>
              <w:top w:val="single" w:color="000000" w:sz="4" w:space="0"/>
              <w:left w:val="single" w:color="000000" w:sz="4" w:space="0"/>
              <w:bottom w:val="single" w:color="000000" w:sz="4" w:space="0"/>
              <w:right w:val="single" w:color="000000" w:sz="4" w:space="0"/>
            </w:tcBorders>
            <w:vAlign w:val="center"/>
          </w:tcPr>
          <w:p w14:paraId="11D81C03">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Ⅰ3</w:t>
            </w:r>
          </w:p>
        </w:tc>
        <w:tc>
          <w:tcPr>
            <w:tcW w:w="970" w:type="dxa"/>
            <w:tcBorders>
              <w:top w:val="single" w:color="000000" w:sz="4" w:space="0"/>
              <w:left w:val="single" w:color="000000" w:sz="4" w:space="0"/>
              <w:bottom w:val="single" w:color="000000" w:sz="4" w:space="0"/>
              <w:right w:val="single" w:color="000000" w:sz="4" w:space="0"/>
            </w:tcBorders>
            <w:vAlign w:val="center"/>
          </w:tcPr>
          <w:p w14:paraId="0B51E660">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left"/>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长林53号、长林40号、长林4号</w:t>
            </w:r>
          </w:p>
        </w:tc>
        <w:tc>
          <w:tcPr>
            <w:tcW w:w="971" w:type="dxa"/>
            <w:tcBorders>
              <w:top w:val="single" w:color="000000" w:sz="4" w:space="0"/>
              <w:left w:val="single" w:color="000000" w:sz="4" w:space="0"/>
              <w:bottom w:val="single" w:color="000000" w:sz="4" w:space="0"/>
              <w:right w:val="single" w:color="000000" w:sz="4" w:space="0"/>
            </w:tcBorders>
            <w:vAlign w:val="center"/>
          </w:tcPr>
          <w:p w14:paraId="71A692D4">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水平开梯</w:t>
            </w:r>
          </w:p>
          <w:p w14:paraId="0EB1F3CD">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（梯面3-6m）</w:t>
            </w:r>
          </w:p>
        </w:tc>
      </w:tr>
      <w:tr w14:paraId="3395CBA0">
        <w:tblPrEx>
          <w:tblCellMar>
            <w:top w:w="0" w:type="dxa"/>
            <w:left w:w="57" w:type="dxa"/>
            <w:bottom w:w="0" w:type="dxa"/>
            <w:right w:w="57" w:type="dxa"/>
          </w:tblCellMar>
        </w:tblPrEx>
        <w:trPr>
          <w:trHeight w:val="588" w:hRule="atLeast"/>
          <w:jc w:val="center"/>
        </w:trPr>
        <w:tc>
          <w:tcPr>
            <w:tcW w:w="809" w:type="dxa"/>
            <w:vMerge w:val="continue"/>
            <w:tcBorders>
              <w:left w:val="single" w:color="000000" w:sz="4" w:space="0"/>
              <w:right w:val="single" w:color="000000" w:sz="4" w:space="0"/>
            </w:tcBorders>
            <w:vAlign w:val="center"/>
          </w:tcPr>
          <w:p w14:paraId="338E8CC9">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rPr>
                <w:rFonts w:hint="eastAsia" w:ascii="楷体" w:hAnsi="楷体" w:eastAsia="楷体" w:cs="楷体"/>
                <w:color w:val="000000"/>
                <w:spacing w:val="-11"/>
                <w:w w:val="95"/>
                <w:sz w:val="18"/>
                <w:szCs w:val="18"/>
              </w:rPr>
            </w:pPr>
          </w:p>
        </w:tc>
        <w:tc>
          <w:tcPr>
            <w:tcW w:w="974" w:type="dxa"/>
            <w:tcBorders>
              <w:top w:val="single" w:color="000000" w:sz="4" w:space="0"/>
              <w:left w:val="single" w:color="000000" w:sz="4" w:space="0"/>
              <w:bottom w:val="single" w:color="000000" w:sz="4" w:space="0"/>
              <w:right w:val="single" w:color="000000" w:sz="4" w:space="0"/>
            </w:tcBorders>
            <w:vAlign w:val="center"/>
          </w:tcPr>
          <w:p w14:paraId="75AB84BC">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缓坡（6-15）</w:t>
            </w:r>
          </w:p>
        </w:tc>
        <w:tc>
          <w:tcPr>
            <w:tcW w:w="853" w:type="dxa"/>
            <w:tcBorders>
              <w:top w:val="single" w:color="000000" w:sz="4" w:space="0"/>
              <w:left w:val="single" w:color="000000" w:sz="4" w:space="0"/>
              <w:bottom w:val="single" w:color="000000" w:sz="4" w:space="0"/>
              <w:right w:val="single" w:color="000000" w:sz="4" w:space="0"/>
            </w:tcBorders>
            <w:vAlign w:val="center"/>
          </w:tcPr>
          <w:p w14:paraId="6DF4AF76">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红壤、黄壤</w:t>
            </w:r>
          </w:p>
        </w:tc>
        <w:tc>
          <w:tcPr>
            <w:tcW w:w="840" w:type="dxa"/>
            <w:tcBorders>
              <w:top w:val="single" w:color="000000" w:sz="4" w:space="0"/>
              <w:left w:val="single" w:color="000000" w:sz="4" w:space="0"/>
              <w:bottom w:val="single" w:color="000000" w:sz="4" w:space="0"/>
              <w:right w:val="single" w:color="000000" w:sz="4" w:space="0"/>
            </w:tcBorders>
            <w:vAlign w:val="center"/>
          </w:tcPr>
          <w:p w14:paraId="2EA2B38E">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中层土</w:t>
            </w:r>
          </w:p>
          <w:p w14:paraId="247736E3">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lang w:eastAsia="zh-CN"/>
              </w:rPr>
            </w:pPr>
            <w:r>
              <w:rPr>
                <w:rFonts w:hint="eastAsia" w:ascii="楷体" w:hAnsi="楷体" w:eastAsia="楷体" w:cs="楷体"/>
                <w:color w:val="000000"/>
                <w:spacing w:val="-11"/>
                <w:w w:val="95"/>
                <w:kern w:val="0"/>
                <w:sz w:val="18"/>
                <w:szCs w:val="18"/>
                <w:lang w:bidi="ar"/>
              </w:rPr>
              <w:t>（40～79</w:t>
            </w:r>
            <w:r>
              <w:rPr>
                <w:rFonts w:hint="eastAsia" w:ascii="楷体" w:hAnsi="楷体" w:eastAsia="楷体" w:cs="楷体"/>
                <w:color w:val="000000"/>
                <w:spacing w:val="-11"/>
                <w:w w:val="95"/>
                <w:kern w:val="0"/>
                <w:sz w:val="18"/>
                <w:szCs w:val="18"/>
                <w:lang w:eastAsia="zh-CN" w:bidi="ar"/>
              </w:rPr>
              <w:t>）</w:t>
            </w:r>
          </w:p>
        </w:tc>
        <w:tc>
          <w:tcPr>
            <w:tcW w:w="1455" w:type="dxa"/>
            <w:tcBorders>
              <w:top w:val="single" w:color="000000" w:sz="4" w:space="0"/>
              <w:left w:val="single" w:color="000000" w:sz="4" w:space="0"/>
              <w:bottom w:val="single" w:color="000000" w:sz="4" w:space="0"/>
              <w:right w:val="single" w:color="000000" w:sz="4" w:space="0"/>
            </w:tcBorders>
            <w:vAlign w:val="center"/>
          </w:tcPr>
          <w:p w14:paraId="24F0A73E">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杉木、马尾松、毛竹、</w:t>
            </w:r>
            <w:r>
              <w:rPr>
                <w:rFonts w:hint="eastAsia" w:ascii="楷体" w:hAnsi="楷体" w:eastAsia="楷体" w:cs="楷体"/>
                <w:color w:val="000000"/>
                <w:spacing w:val="-11"/>
                <w:w w:val="95"/>
                <w:kern w:val="0"/>
                <w:sz w:val="18"/>
                <w:szCs w:val="18"/>
                <w:lang w:val="en-US" w:eastAsia="zh-CN" w:bidi="ar"/>
              </w:rPr>
              <w:t>阔叶树、</w:t>
            </w:r>
            <w:r>
              <w:rPr>
                <w:rFonts w:hint="eastAsia" w:ascii="楷体" w:hAnsi="楷体" w:eastAsia="楷体" w:cs="楷体"/>
                <w:color w:val="000000"/>
                <w:spacing w:val="-11"/>
                <w:w w:val="95"/>
                <w:kern w:val="0"/>
                <w:sz w:val="18"/>
                <w:szCs w:val="18"/>
                <w:lang w:bidi="ar"/>
              </w:rPr>
              <w:t>蕨类</w:t>
            </w:r>
            <w:r>
              <w:rPr>
                <w:rFonts w:hint="eastAsia" w:ascii="楷体" w:hAnsi="楷体" w:eastAsia="楷体" w:cs="楷体"/>
                <w:color w:val="000000"/>
                <w:spacing w:val="-11"/>
                <w:w w:val="95"/>
                <w:kern w:val="0"/>
                <w:sz w:val="18"/>
                <w:szCs w:val="18"/>
                <w:lang w:val="en-US" w:eastAsia="zh-CN" w:bidi="ar"/>
              </w:rPr>
              <w:t>等</w:t>
            </w:r>
          </w:p>
        </w:tc>
        <w:tc>
          <w:tcPr>
            <w:tcW w:w="995" w:type="dxa"/>
            <w:tcBorders>
              <w:top w:val="single" w:color="000000" w:sz="4" w:space="0"/>
              <w:left w:val="single" w:color="000000" w:sz="4" w:space="0"/>
              <w:bottom w:val="single" w:color="000000" w:sz="4" w:space="0"/>
              <w:right w:val="single" w:color="000000" w:sz="4" w:space="0"/>
            </w:tcBorders>
            <w:vAlign w:val="center"/>
          </w:tcPr>
          <w:p w14:paraId="67A108D3">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低山缓坡中土立地类型</w:t>
            </w:r>
          </w:p>
        </w:tc>
        <w:tc>
          <w:tcPr>
            <w:tcW w:w="553" w:type="dxa"/>
            <w:tcBorders>
              <w:top w:val="single" w:color="000000" w:sz="4" w:space="0"/>
              <w:left w:val="single" w:color="000000" w:sz="4" w:space="0"/>
              <w:bottom w:val="single" w:color="000000" w:sz="4" w:space="0"/>
              <w:right w:val="single" w:color="000000" w:sz="4" w:space="0"/>
            </w:tcBorders>
            <w:vAlign w:val="center"/>
          </w:tcPr>
          <w:p w14:paraId="54B4B09F">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Ⅰ5</w:t>
            </w:r>
          </w:p>
        </w:tc>
        <w:tc>
          <w:tcPr>
            <w:tcW w:w="970" w:type="dxa"/>
            <w:tcBorders>
              <w:top w:val="single" w:color="000000" w:sz="4" w:space="0"/>
              <w:left w:val="single" w:color="000000" w:sz="4" w:space="0"/>
              <w:bottom w:val="single" w:color="000000" w:sz="4" w:space="0"/>
              <w:right w:val="single" w:color="000000" w:sz="4" w:space="0"/>
            </w:tcBorders>
            <w:vAlign w:val="center"/>
          </w:tcPr>
          <w:p w14:paraId="5CE4EEEB">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left"/>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长林53号、长林40号、长林4号</w:t>
            </w:r>
          </w:p>
        </w:tc>
        <w:tc>
          <w:tcPr>
            <w:tcW w:w="971" w:type="dxa"/>
            <w:tcBorders>
              <w:top w:val="single" w:color="000000" w:sz="4" w:space="0"/>
              <w:left w:val="single" w:color="000000" w:sz="4" w:space="0"/>
              <w:bottom w:val="single" w:color="000000" w:sz="4" w:space="0"/>
              <w:right w:val="single" w:color="000000" w:sz="4" w:space="0"/>
            </w:tcBorders>
            <w:vAlign w:val="center"/>
          </w:tcPr>
          <w:p w14:paraId="1D79AC0F">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水平开梯</w:t>
            </w:r>
          </w:p>
          <w:p w14:paraId="484E6A52">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（梯面3-6m）</w:t>
            </w:r>
          </w:p>
        </w:tc>
      </w:tr>
      <w:tr w14:paraId="6987A883">
        <w:tblPrEx>
          <w:tblCellMar>
            <w:top w:w="0" w:type="dxa"/>
            <w:left w:w="57" w:type="dxa"/>
            <w:bottom w:w="0" w:type="dxa"/>
            <w:right w:w="57" w:type="dxa"/>
          </w:tblCellMar>
        </w:tblPrEx>
        <w:trPr>
          <w:trHeight w:val="588" w:hRule="atLeast"/>
          <w:jc w:val="center"/>
        </w:trPr>
        <w:tc>
          <w:tcPr>
            <w:tcW w:w="809" w:type="dxa"/>
            <w:vMerge w:val="continue"/>
            <w:tcBorders>
              <w:left w:val="single" w:color="000000" w:sz="4" w:space="0"/>
              <w:right w:val="single" w:color="000000" w:sz="4" w:space="0"/>
            </w:tcBorders>
            <w:vAlign w:val="center"/>
          </w:tcPr>
          <w:p w14:paraId="214C14AF">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rPr>
                <w:rFonts w:hint="eastAsia" w:ascii="楷体" w:hAnsi="楷体" w:eastAsia="楷体" w:cs="楷体"/>
                <w:color w:val="000000"/>
                <w:spacing w:val="-11"/>
                <w:w w:val="95"/>
                <w:sz w:val="18"/>
                <w:szCs w:val="18"/>
              </w:rPr>
            </w:pPr>
          </w:p>
        </w:tc>
        <w:tc>
          <w:tcPr>
            <w:tcW w:w="974" w:type="dxa"/>
            <w:tcBorders>
              <w:top w:val="single" w:color="000000" w:sz="4" w:space="0"/>
              <w:left w:val="single" w:color="000000" w:sz="4" w:space="0"/>
              <w:bottom w:val="single" w:color="000000" w:sz="4" w:space="0"/>
              <w:right w:val="single" w:color="000000" w:sz="4" w:space="0"/>
            </w:tcBorders>
            <w:vAlign w:val="center"/>
          </w:tcPr>
          <w:p w14:paraId="694A10EE">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斜坡（16-25）</w:t>
            </w:r>
          </w:p>
        </w:tc>
        <w:tc>
          <w:tcPr>
            <w:tcW w:w="853" w:type="dxa"/>
            <w:tcBorders>
              <w:top w:val="single" w:color="000000" w:sz="4" w:space="0"/>
              <w:left w:val="single" w:color="000000" w:sz="4" w:space="0"/>
              <w:bottom w:val="single" w:color="000000" w:sz="4" w:space="0"/>
              <w:right w:val="single" w:color="000000" w:sz="4" w:space="0"/>
            </w:tcBorders>
            <w:vAlign w:val="center"/>
          </w:tcPr>
          <w:p w14:paraId="5E554FD5">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红壤、黄壤</w:t>
            </w:r>
          </w:p>
        </w:tc>
        <w:tc>
          <w:tcPr>
            <w:tcW w:w="840" w:type="dxa"/>
            <w:tcBorders>
              <w:top w:val="single" w:color="000000" w:sz="4" w:space="0"/>
              <w:left w:val="single" w:color="000000" w:sz="4" w:space="0"/>
              <w:bottom w:val="single" w:color="000000" w:sz="4" w:space="0"/>
              <w:right w:val="single" w:color="000000" w:sz="4" w:space="0"/>
            </w:tcBorders>
            <w:vAlign w:val="center"/>
          </w:tcPr>
          <w:p w14:paraId="506B8A10">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中层土</w:t>
            </w:r>
          </w:p>
          <w:p w14:paraId="0065BE0B">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lang w:eastAsia="zh-CN"/>
              </w:rPr>
            </w:pPr>
            <w:r>
              <w:rPr>
                <w:rFonts w:hint="eastAsia" w:ascii="楷体" w:hAnsi="楷体" w:eastAsia="楷体" w:cs="楷体"/>
                <w:color w:val="000000"/>
                <w:spacing w:val="-11"/>
                <w:w w:val="95"/>
                <w:kern w:val="0"/>
                <w:sz w:val="18"/>
                <w:szCs w:val="18"/>
                <w:lang w:bidi="ar"/>
              </w:rPr>
              <w:t>（40～79</w:t>
            </w:r>
            <w:r>
              <w:rPr>
                <w:rFonts w:hint="eastAsia" w:ascii="楷体" w:hAnsi="楷体" w:eastAsia="楷体" w:cs="楷体"/>
                <w:color w:val="000000"/>
                <w:spacing w:val="-11"/>
                <w:w w:val="95"/>
                <w:kern w:val="0"/>
                <w:sz w:val="18"/>
                <w:szCs w:val="18"/>
                <w:lang w:eastAsia="zh-CN" w:bidi="ar"/>
              </w:rPr>
              <w:t>）</w:t>
            </w:r>
          </w:p>
        </w:tc>
        <w:tc>
          <w:tcPr>
            <w:tcW w:w="1455" w:type="dxa"/>
            <w:tcBorders>
              <w:top w:val="single" w:color="000000" w:sz="4" w:space="0"/>
              <w:left w:val="single" w:color="000000" w:sz="4" w:space="0"/>
              <w:bottom w:val="single" w:color="000000" w:sz="4" w:space="0"/>
              <w:right w:val="single" w:color="000000" w:sz="4" w:space="0"/>
            </w:tcBorders>
            <w:vAlign w:val="center"/>
          </w:tcPr>
          <w:p w14:paraId="391C0BC5">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杉木、马尾松、毛竹、</w:t>
            </w:r>
            <w:r>
              <w:rPr>
                <w:rFonts w:hint="eastAsia" w:ascii="楷体" w:hAnsi="楷体" w:eastAsia="楷体" w:cs="楷体"/>
                <w:color w:val="000000"/>
                <w:spacing w:val="-11"/>
                <w:w w:val="95"/>
                <w:kern w:val="0"/>
                <w:sz w:val="18"/>
                <w:szCs w:val="18"/>
                <w:lang w:val="en-US" w:eastAsia="zh-CN" w:bidi="ar"/>
              </w:rPr>
              <w:t>阔叶树、</w:t>
            </w:r>
            <w:r>
              <w:rPr>
                <w:rFonts w:hint="eastAsia" w:ascii="楷体" w:hAnsi="楷体" w:eastAsia="楷体" w:cs="楷体"/>
                <w:color w:val="000000"/>
                <w:spacing w:val="-11"/>
                <w:w w:val="95"/>
                <w:kern w:val="0"/>
                <w:sz w:val="18"/>
                <w:szCs w:val="18"/>
                <w:lang w:bidi="ar"/>
              </w:rPr>
              <w:t>蕨类</w:t>
            </w:r>
            <w:r>
              <w:rPr>
                <w:rFonts w:hint="eastAsia" w:ascii="楷体" w:hAnsi="楷体" w:eastAsia="楷体" w:cs="楷体"/>
                <w:color w:val="000000"/>
                <w:spacing w:val="-11"/>
                <w:w w:val="95"/>
                <w:kern w:val="0"/>
                <w:sz w:val="18"/>
                <w:szCs w:val="18"/>
                <w:lang w:val="en-US" w:eastAsia="zh-CN" w:bidi="ar"/>
              </w:rPr>
              <w:t>等</w:t>
            </w:r>
          </w:p>
        </w:tc>
        <w:tc>
          <w:tcPr>
            <w:tcW w:w="995" w:type="dxa"/>
            <w:tcBorders>
              <w:top w:val="single" w:color="000000" w:sz="4" w:space="0"/>
              <w:left w:val="single" w:color="000000" w:sz="4" w:space="0"/>
              <w:bottom w:val="single" w:color="000000" w:sz="4" w:space="0"/>
              <w:right w:val="single" w:color="000000" w:sz="4" w:space="0"/>
            </w:tcBorders>
            <w:vAlign w:val="center"/>
          </w:tcPr>
          <w:p w14:paraId="3A2D66DF">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低山斜坡中土立地类型</w:t>
            </w:r>
          </w:p>
        </w:tc>
        <w:tc>
          <w:tcPr>
            <w:tcW w:w="553" w:type="dxa"/>
            <w:tcBorders>
              <w:top w:val="single" w:color="000000" w:sz="4" w:space="0"/>
              <w:left w:val="single" w:color="000000" w:sz="4" w:space="0"/>
              <w:bottom w:val="single" w:color="000000" w:sz="4" w:space="0"/>
              <w:right w:val="single" w:color="000000" w:sz="4" w:space="0"/>
            </w:tcBorders>
            <w:vAlign w:val="center"/>
          </w:tcPr>
          <w:p w14:paraId="115D8E9C">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Ⅰ6</w:t>
            </w:r>
          </w:p>
        </w:tc>
        <w:tc>
          <w:tcPr>
            <w:tcW w:w="970" w:type="dxa"/>
            <w:tcBorders>
              <w:top w:val="single" w:color="000000" w:sz="4" w:space="0"/>
              <w:left w:val="single" w:color="000000" w:sz="4" w:space="0"/>
              <w:bottom w:val="single" w:color="000000" w:sz="4" w:space="0"/>
              <w:right w:val="single" w:color="000000" w:sz="4" w:space="0"/>
            </w:tcBorders>
            <w:vAlign w:val="center"/>
          </w:tcPr>
          <w:p w14:paraId="04772E00">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left"/>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长林53号、长林40号、长林4号</w:t>
            </w:r>
          </w:p>
        </w:tc>
        <w:tc>
          <w:tcPr>
            <w:tcW w:w="971" w:type="dxa"/>
            <w:tcBorders>
              <w:top w:val="single" w:color="000000" w:sz="4" w:space="0"/>
              <w:left w:val="single" w:color="000000" w:sz="4" w:space="0"/>
              <w:bottom w:val="single" w:color="000000" w:sz="4" w:space="0"/>
              <w:right w:val="single" w:color="000000" w:sz="4" w:space="0"/>
            </w:tcBorders>
            <w:vAlign w:val="center"/>
          </w:tcPr>
          <w:p w14:paraId="2E0190C0">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水平开梯</w:t>
            </w:r>
          </w:p>
          <w:p w14:paraId="38D22379">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（梯面3-6m）</w:t>
            </w:r>
          </w:p>
        </w:tc>
      </w:tr>
      <w:tr w14:paraId="4B697858">
        <w:tblPrEx>
          <w:tblCellMar>
            <w:top w:w="0" w:type="dxa"/>
            <w:left w:w="57" w:type="dxa"/>
            <w:bottom w:w="0" w:type="dxa"/>
            <w:right w:w="57" w:type="dxa"/>
          </w:tblCellMar>
        </w:tblPrEx>
        <w:trPr>
          <w:trHeight w:val="588" w:hRule="atLeast"/>
          <w:jc w:val="center"/>
        </w:trPr>
        <w:tc>
          <w:tcPr>
            <w:tcW w:w="809" w:type="dxa"/>
            <w:vMerge w:val="continue"/>
            <w:tcBorders>
              <w:left w:val="single" w:color="000000" w:sz="4" w:space="0"/>
              <w:bottom w:val="single" w:color="000000" w:sz="4" w:space="0"/>
              <w:right w:val="single" w:color="000000" w:sz="4" w:space="0"/>
            </w:tcBorders>
            <w:vAlign w:val="center"/>
          </w:tcPr>
          <w:p w14:paraId="31E43C2A">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rPr>
                <w:rFonts w:hint="eastAsia" w:ascii="楷体" w:hAnsi="楷体" w:eastAsia="楷体" w:cs="楷体"/>
                <w:color w:val="000000"/>
                <w:spacing w:val="-11"/>
                <w:w w:val="95"/>
                <w:sz w:val="18"/>
                <w:szCs w:val="18"/>
              </w:rPr>
            </w:pPr>
          </w:p>
        </w:tc>
        <w:tc>
          <w:tcPr>
            <w:tcW w:w="974" w:type="dxa"/>
            <w:tcBorders>
              <w:top w:val="single" w:color="000000" w:sz="4" w:space="0"/>
              <w:left w:val="single" w:color="000000" w:sz="4" w:space="0"/>
              <w:bottom w:val="single" w:color="000000" w:sz="4" w:space="0"/>
              <w:right w:val="single" w:color="000000" w:sz="4" w:space="0"/>
            </w:tcBorders>
            <w:vAlign w:val="center"/>
          </w:tcPr>
          <w:p w14:paraId="4716376D">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val="en-US" w:eastAsia="zh-CN" w:bidi="ar"/>
              </w:rPr>
              <w:t>陡</w:t>
            </w:r>
            <w:r>
              <w:rPr>
                <w:rFonts w:hint="eastAsia" w:ascii="楷体" w:hAnsi="楷体" w:eastAsia="楷体" w:cs="楷体"/>
                <w:color w:val="000000"/>
                <w:spacing w:val="-11"/>
                <w:w w:val="95"/>
                <w:kern w:val="0"/>
                <w:sz w:val="18"/>
                <w:szCs w:val="18"/>
                <w:lang w:bidi="ar"/>
              </w:rPr>
              <w:t>坡（</w:t>
            </w:r>
            <w:r>
              <w:rPr>
                <w:rFonts w:hint="eastAsia" w:ascii="楷体" w:hAnsi="楷体" w:eastAsia="楷体" w:cs="楷体"/>
                <w:color w:val="000000"/>
                <w:spacing w:val="-11"/>
                <w:w w:val="95"/>
                <w:kern w:val="0"/>
                <w:sz w:val="18"/>
                <w:szCs w:val="18"/>
                <w:lang w:val="en-US" w:eastAsia="zh-CN" w:bidi="ar"/>
              </w:rPr>
              <w:t>26</w:t>
            </w:r>
            <w:r>
              <w:rPr>
                <w:rFonts w:hint="eastAsia" w:ascii="楷体" w:hAnsi="楷体" w:eastAsia="楷体" w:cs="楷体"/>
                <w:color w:val="000000"/>
                <w:spacing w:val="-11"/>
                <w:w w:val="95"/>
                <w:kern w:val="0"/>
                <w:sz w:val="18"/>
                <w:szCs w:val="18"/>
                <w:lang w:bidi="ar"/>
              </w:rPr>
              <w:t>-</w:t>
            </w:r>
            <w:r>
              <w:rPr>
                <w:rFonts w:hint="eastAsia" w:ascii="楷体" w:hAnsi="楷体" w:eastAsia="楷体" w:cs="楷体"/>
                <w:color w:val="000000"/>
                <w:spacing w:val="-11"/>
                <w:w w:val="95"/>
                <w:kern w:val="0"/>
                <w:sz w:val="18"/>
                <w:szCs w:val="18"/>
                <w:lang w:val="en-US" w:eastAsia="zh-CN" w:bidi="ar"/>
              </w:rPr>
              <w:t>3</w:t>
            </w:r>
            <w:r>
              <w:rPr>
                <w:rFonts w:hint="eastAsia" w:ascii="楷体" w:hAnsi="楷体" w:eastAsia="楷体" w:cs="楷体"/>
                <w:color w:val="000000"/>
                <w:spacing w:val="-11"/>
                <w:w w:val="95"/>
                <w:kern w:val="0"/>
                <w:sz w:val="18"/>
                <w:szCs w:val="18"/>
                <w:lang w:bidi="ar"/>
              </w:rPr>
              <w:t>5）</w:t>
            </w:r>
          </w:p>
        </w:tc>
        <w:tc>
          <w:tcPr>
            <w:tcW w:w="853" w:type="dxa"/>
            <w:tcBorders>
              <w:top w:val="single" w:color="000000" w:sz="4" w:space="0"/>
              <w:left w:val="single" w:color="000000" w:sz="4" w:space="0"/>
              <w:bottom w:val="single" w:color="000000" w:sz="4" w:space="0"/>
              <w:right w:val="single" w:color="000000" w:sz="4" w:space="0"/>
            </w:tcBorders>
            <w:vAlign w:val="center"/>
          </w:tcPr>
          <w:p w14:paraId="0933CF2A">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红壤、黄壤</w:t>
            </w:r>
          </w:p>
        </w:tc>
        <w:tc>
          <w:tcPr>
            <w:tcW w:w="840" w:type="dxa"/>
            <w:tcBorders>
              <w:top w:val="single" w:color="000000" w:sz="4" w:space="0"/>
              <w:left w:val="single" w:color="000000" w:sz="4" w:space="0"/>
              <w:bottom w:val="single" w:color="000000" w:sz="4" w:space="0"/>
              <w:right w:val="single" w:color="000000" w:sz="4" w:space="0"/>
            </w:tcBorders>
            <w:vAlign w:val="center"/>
          </w:tcPr>
          <w:p w14:paraId="4E60C210">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中层土</w:t>
            </w:r>
          </w:p>
          <w:p w14:paraId="381E232C">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（40～79</w:t>
            </w:r>
            <w:r>
              <w:rPr>
                <w:rFonts w:hint="eastAsia" w:ascii="楷体" w:hAnsi="楷体" w:eastAsia="楷体" w:cs="楷体"/>
                <w:color w:val="000000"/>
                <w:spacing w:val="-11"/>
                <w:w w:val="95"/>
                <w:kern w:val="0"/>
                <w:sz w:val="18"/>
                <w:szCs w:val="18"/>
                <w:lang w:eastAsia="zh-CN" w:bidi="ar"/>
              </w:rPr>
              <w:t>）</w:t>
            </w:r>
          </w:p>
        </w:tc>
        <w:tc>
          <w:tcPr>
            <w:tcW w:w="1455" w:type="dxa"/>
            <w:tcBorders>
              <w:top w:val="single" w:color="000000" w:sz="4" w:space="0"/>
              <w:left w:val="single" w:color="000000" w:sz="4" w:space="0"/>
              <w:bottom w:val="single" w:color="000000" w:sz="4" w:space="0"/>
              <w:right w:val="single" w:color="000000" w:sz="4" w:space="0"/>
            </w:tcBorders>
            <w:vAlign w:val="center"/>
          </w:tcPr>
          <w:p w14:paraId="1F611B12">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杉木、马尾松、毛竹、</w:t>
            </w:r>
            <w:r>
              <w:rPr>
                <w:rFonts w:hint="eastAsia" w:ascii="楷体" w:hAnsi="楷体" w:eastAsia="楷体" w:cs="楷体"/>
                <w:color w:val="000000"/>
                <w:spacing w:val="-11"/>
                <w:w w:val="95"/>
                <w:kern w:val="0"/>
                <w:sz w:val="18"/>
                <w:szCs w:val="18"/>
                <w:lang w:val="en-US" w:eastAsia="zh-CN" w:bidi="ar"/>
              </w:rPr>
              <w:t>阔叶树、</w:t>
            </w:r>
            <w:r>
              <w:rPr>
                <w:rFonts w:hint="eastAsia" w:ascii="楷体" w:hAnsi="楷体" w:eastAsia="楷体" w:cs="楷体"/>
                <w:color w:val="000000"/>
                <w:spacing w:val="-11"/>
                <w:w w:val="95"/>
                <w:kern w:val="0"/>
                <w:sz w:val="18"/>
                <w:szCs w:val="18"/>
                <w:lang w:bidi="ar"/>
              </w:rPr>
              <w:t>蕨类</w:t>
            </w:r>
            <w:r>
              <w:rPr>
                <w:rFonts w:hint="eastAsia" w:ascii="楷体" w:hAnsi="楷体" w:eastAsia="楷体" w:cs="楷体"/>
                <w:color w:val="000000"/>
                <w:spacing w:val="-11"/>
                <w:w w:val="95"/>
                <w:kern w:val="0"/>
                <w:sz w:val="18"/>
                <w:szCs w:val="18"/>
                <w:lang w:val="en-US" w:eastAsia="zh-CN" w:bidi="ar"/>
              </w:rPr>
              <w:t>等</w:t>
            </w:r>
          </w:p>
        </w:tc>
        <w:tc>
          <w:tcPr>
            <w:tcW w:w="995" w:type="dxa"/>
            <w:tcBorders>
              <w:top w:val="single" w:color="000000" w:sz="4" w:space="0"/>
              <w:left w:val="single" w:color="000000" w:sz="4" w:space="0"/>
              <w:bottom w:val="single" w:color="000000" w:sz="4" w:space="0"/>
              <w:right w:val="single" w:color="000000" w:sz="4" w:space="0"/>
            </w:tcBorders>
            <w:vAlign w:val="center"/>
          </w:tcPr>
          <w:p w14:paraId="4E355228">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低山</w:t>
            </w:r>
            <w:r>
              <w:rPr>
                <w:rFonts w:hint="eastAsia" w:ascii="楷体" w:hAnsi="楷体" w:eastAsia="楷体" w:cs="楷体"/>
                <w:color w:val="000000"/>
                <w:spacing w:val="-11"/>
                <w:w w:val="95"/>
                <w:kern w:val="0"/>
                <w:sz w:val="18"/>
                <w:szCs w:val="18"/>
                <w:lang w:val="en-US" w:eastAsia="zh-CN" w:bidi="ar"/>
              </w:rPr>
              <w:t>陡</w:t>
            </w:r>
            <w:r>
              <w:rPr>
                <w:rFonts w:hint="eastAsia" w:ascii="楷体" w:hAnsi="楷体" w:eastAsia="楷体" w:cs="楷体"/>
                <w:color w:val="000000"/>
                <w:spacing w:val="-11"/>
                <w:w w:val="95"/>
                <w:kern w:val="0"/>
                <w:sz w:val="18"/>
                <w:szCs w:val="18"/>
                <w:lang w:bidi="ar"/>
              </w:rPr>
              <w:t>坡中土立地类型</w:t>
            </w:r>
          </w:p>
        </w:tc>
        <w:tc>
          <w:tcPr>
            <w:tcW w:w="553" w:type="dxa"/>
            <w:tcBorders>
              <w:top w:val="single" w:color="000000" w:sz="4" w:space="0"/>
              <w:left w:val="single" w:color="000000" w:sz="4" w:space="0"/>
              <w:bottom w:val="single" w:color="000000" w:sz="4" w:space="0"/>
              <w:right w:val="single" w:color="000000" w:sz="4" w:space="0"/>
            </w:tcBorders>
            <w:vAlign w:val="center"/>
          </w:tcPr>
          <w:p w14:paraId="37A111C0">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val="en-US" w:eastAsia="zh-CN" w:bidi="ar"/>
              </w:rPr>
            </w:pPr>
            <w:r>
              <w:rPr>
                <w:rFonts w:hint="eastAsia" w:ascii="楷体" w:hAnsi="楷体" w:eastAsia="楷体" w:cs="楷体"/>
                <w:color w:val="000000"/>
                <w:spacing w:val="-11"/>
                <w:w w:val="95"/>
                <w:kern w:val="0"/>
                <w:sz w:val="18"/>
                <w:szCs w:val="18"/>
                <w:lang w:bidi="ar"/>
              </w:rPr>
              <w:t>Ⅰ</w:t>
            </w:r>
            <w:r>
              <w:rPr>
                <w:rFonts w:hint="eastAsia" w:ascii="楷体" w:hAnsi="楷体" w:eastAsia="楷体" w:cs="楷体"/>
                <w:color w:val="000000"/>
                <w:spacing w:val="-11"/>
                <w:w w:val="95"/>
                <w:kern w:val="0"/>
                <w:sz w:val="18"/>
                <w:szCs w:val="18"/>
                <w:lang w:val="en-US" w:eastAsia="zh-CN" w:bidi="ar"/>
              </w:rPr>
              <w:t>7</w:t>
            </w:r>
          </w:p>
        </w:tc>
        <w:tc>
          <w:tcPr>
            <w:tcW w:w="970" w:type="dxa"/>
            <w:tcBorders>
              <w:top w:val="single" w:color="000000" w:sz="4" w:space="0"/>
              <w:left w:val="single" w:color="000000" w:sz="4" w:space="0"/>
              <w:bottom w:val="single" w:color="000000" w:sz="4" w:space="0"/>
              <w:right w:val="single" w:color="000000" w:sz="4" w:space="0"/>
            </w:tcBorders>
            <w:vAlign w:val="center"/>
          </w:tcPr>
          <w:p w14:paraId="29AC01DC">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left"/>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长林53号、长林40号、长林4号</w:t>
            </w:r>
          </w:p>
        </w:tc>
        <w:tc>
          <w:tcPr>
            <w:tcW w:w="971" w:type="dxa"/>
            <w:tcBorders>
              <w:top w:val="single" w:color="000000" w:sz="4" w:space="0"/>
              <w:left w:val="single" w:color="000000" w:sz="4" w:space="0"/>
              <w:bottom w:val="single" w:color="000000" w:sz="4" w:space="0"/>
              <w:right w:val="single" w:color="000000" w:sz="4" w:space="0"/>
            </w:tcBorders>
            <w:vAlign w:val="center"/>
          </w:tcPr>
          <w:p w14:paraId="5FBBFC67">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lang w:val="en-US" w:eastAsia="zh-CN"/>
              </w:rPr>
            </w:pPr>
            <w:r>
              <w:rPr>
                <w:rFonts w:hint="eastAsia" w:ascii="楷体" w:hAnsi="楷体" w:eastAsia="楷体" w:cs="楷体"/>
                <w:color w:val="000000"/>
                <w:spacing w:val="-11"/>
                <w:w w:val="95"/>
                <w:sz w:val="18"/>
                <w:szCs w:val="18"/>
                <w:lang w:val="en-US" w:eastAsia="zh-CN"/>
              </w:rPr>
              <w:t>块状</w:t>
            </w:r>
          </w:p>
          <w:p w14:paraId="645442C7">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sz w:val="18"/>
                <w:szCs w:val="18"/>
                <w:lang w:val="en-US" w:eastAsia="zh-CN"/>
              </w:rPr>
              <w:t>（1m×1m）</w:t>
            </w:r>
          </w:p>
        </w:tc>
      </w:tr>
      <w:tr w14:paraId="5549F366">
        <w:tblPrEx>
          <w:tblCellMar>
            <w:top w:w="0" w:type="dxa"/>
            <w:left w:w="57" w:type="dxa"/>
            <w:bottom w:w="0" w:type="dxa"/>
            <w:right w:w="57" w:type="dxa"/>
          </w:tblCellMar>
        </w:tblPrEx>
        <w:trPr>
          <w:trHeight w:val="588" w:hRule="atLeast"/>
          <w:jc w:val="center"/>
        </w:trPr>
        <w:tc>
          <w:tcPr>
            <w:tcW w:w="809" w:type="dxa"/>
            <w:vMerge w:val="restart"/>
            <w:tcBorders>
              <w:top w:val="single" w:color="000000" w:sz="4" w:space="0"/>
              <w:left w:val="single" w:color="000000" w:sz="4" w:space="0"/>
              <w:bottom w:val="single" w:color="000000" w:sz="4" w:space="0"/>
              <w:right w:val="single" w:color="000000" w:sz="4" w:space="0"/>
            </w:tcBorders>
            <w:vAlign w:val="center"/>
          </w:tcPr>
          <w:p w14:paraId="547C8B79">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丘陵（海拔＜500米）</w:t>
            </w:r>
          </w:p>
        </w:tc>
        <w:tc>
          <w:tcPr>
            <w:tcW w:w="974" w:type="dxa"/>
            <w:tcBorders>
              <w:top w:val="single" w:color="000000" w:sz="4" w:space="0"/>
              <w:left w:val="single" w:color="000000" w:sz="4" w:space="0"/>
              <w:bottom w:val="single" w:color="000000" w:sz="4" w:space="0"/>
              <w:right w:val="single" w:color="000000" w:sz="4" w:space="0"/>
            </w:tcBorders>
            <w:vAlign w:val="center"/>
          </w:tcPr>
          <w:p w14:paraId="5F17AD6D">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缓坡（6-15）</w:t>
            </w:r>
          </w:p>
        </w:tc>
        <w:tc>
          <w:tcPr>
            <w:tcW w:w="853" w:type="dxa"/>
            <w:tcBorders>
              <w:top w:val="single" w:color="000000" w:sz="4" w:space="0"/>
              <w:left w:val="single" w:color="000000" w:sz="4" w:space="0"/>
              <w:bottom w:val="single" w:color="000000" w:sz="4" w:space="0"/>
              <w:right w:val="single" w:color="000000" w:sz="4" w:space="0"/>
            </w:tcBorders>
            <w:vAlign w:val="center"/>
          </w:tcPr>
          <w:p w14:paraId="0A3EF72C">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红壤、黄壤</w:t>
            </w:r>
          </w:p>
        </w:tc>
        <w:tc>
          <w:tcPr>
            <w:tcW w:w="840" w:type="dxa"/>
            <w:tcBorders>
              <w:top w:val="single" w:color="000000" w:sz="4" w:space="0"/>
              <w:left w:val="single" w:color="000000" w:sz="4" w:space="0"/>
              <w:bottom w:val="single" w:color="000000" w:sz="4" w:space="0"/>
              <w:right w:val="single" w:color="000000" w:sz="4" w:space="0"/>
            </w:tcBorders>
            <w:vAlign w:val="center"/>
          </w:tcPr>
          <w:p w14:paraId="7188D5C4">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厚层土</w:t>
            </w:r>
          </w:p>
          <w:p w14:paraId="219F6A85">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lang w:eastAsia="zh-CN"/>
              </w:rPr>
            </w:pPr>
            <w:r>
              <w:rPr>
                <w:rFonts w:hint="eastAsia" w:ascii="楷体" w:hAnsi="楷体" w:eastAsia="楷体" w:cs="楷体"/>
                <w:color w:val="000000"/>
                <w:spacing w:val="-11"/>
                <w:w w:val="95"/>
                <w:kern w:val="0"/>
                <w:sz w:val="18"/>
                <w:szCs w:val="18"/>
                <w:lang w:eastAsia="zh-CN" w:bidi="ar"/>
              </w:rPr>
              <w:t>（</w:t>
            </w:r>
            <w:r>
              <w:rPr>
                <w:rFonts w:hint="eastAsia" w:ascii="楷体" w:hAnsi="楷体" w:eastAsia="楷体" w:cs="楷体"/>
                <w:color w:val="000000"/>
                <w:spacing w:val="-11"/>
                <w:w w:val="95"/>
                <w:kern w:val="0"/>
                <w:sz w:val="18"/>
                <w:szCs w:val="18"/>
                <w:lang w:bidi="ar"/>
              </w:rPr>
              <w:t>≥80</w:t>
            </w:r>
            <w:r>
              <w:rPr>
                <w:rFonts w:hint="eastAsia" w:ascii="楷体" w:hAnsi="楷体" w:eastAsia="楷体" w:cs="楷体"/>
                <w:color w:val="000000"/>
                <w:spacing w:val="-11"/>
                <w:w w:val="95"/>
                <w:kern w:val="0"/>
                <w:sz w:val="18"/>
                <w:szCs w:val="18"/>
                <w:lang w:eastAsia="zh-CN" w:bidi="ar"/>
              </w:rPr>
              <w:t>）</w:t>
            </w:r>
          </w:p>
        </w:tc>
        <w:tc>
          <w:tcPr>
            <w:tcW w:w="1455" w:type="dxa"/>
            <w:tcBorders>
              <w:top w:val="single" w:color="000000" w:sz="4" w:space="0"/>
              <w:left w:val="single" w:color="000000" w:sz="4" w:space="0"/>
              <w:bottom w:val="single" w:color="000000" w:sz="4" w:space="0"/>
              <w:right w:val="single" w:color="000000" w:sz="4" w:space="0"/>
            </w:tcBorders>
            <w:vAlign w:val="center"/>
          </w:tcPr>
          <w:p w14:paraId="6AB7F28C">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杉木、马尾松、毛竹、</w:t>
            </w:r>
            <w:r>
              <w:rPr>
                <w:rFonts w:hint="eastAsia" w:ascii="楷体" w:hAnsi="楷体" w:eastAsia="楷体" w:cs="楷体"/>
                <w:color w:val="000000"/>
                <w:spacing w:val="-11"/>
                <w:w w:val="95"/>
                <w:kern w:val="0"/>
                <w:sz w:val="18"/>
                <w:szCs w:val="18"/>
                <w:lang w:val="en-US" w:eastAsia="zh-CN" w:bidi="ar"/>
              </w:rPr>
              <w:t>阔叶树、</w:t>
            </w:r>
            <w:r>
              <w:rPr>
                <w:rFonts w:hint="eastAsia" w:ascii="楷体" w:hAnsi="楷体" w:eastAsia="楷体" w:cs="楷体"/>
                <w:color w:val="000000"/>
                <w:spacing w:val="-11"/>
                <w:w w:val="95"/>
                <w:kern w:val="0"/>
                <w:sz w:val="18"/>
                <w:szCs w:val="18"/>
                <w:lang w:bidi="ar"/>
              </w:rPr>
              <w:t>蕨类</w:t>
            </w:r>
            <w:r>
              <w:rPr>
                <w:rFonts w:hint="eastAsia" w:ascii="楷体" w:hAnsi="楷体" w:eastAsia="楷体" w:cs="楷体"/>
                <w:color w:val="000000"/>
                <w:spacing w:val="-11"/>
                <w:w w:val="95"/>
                <w:kern w:val="0"/>
                <w:sz w:val="18"/>
                <w:szCs w:val="18"/>
                <w:lang w:val="en-US" w:eastAsia="zh-CN" w:bidi="ar"/>
              </w:rPr>
              <w:t>等</w:t>
            </w:r>
          </w:p>
        </w:tc>
        <w:tc>
          <w:tcPr>
            <w:tcW w:w="995" w:type="dxa"/>
            <w:tcBorders>
              <w:top w:val="single" w:color="000000" w:sz="4" w:space="0"/>
              <w:left w:val="single" w:color="000000" w:sz="4" w:space="0"/>
              <w:bottom w:val="single" w:color="000000" w:sz="4" w:space="0"/>
              <w:right w:val="single" w:color="000000" w:sz="4" w:space="0"/>
            </w:tcBorders>
            <w:vAlign w:val="center"/>
          </w:tcPr>
          <w:p w14:paraId="5BEFC16A">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丘陵缓坡厚土立地类型</w:t>
            </w:r>
          </w:p>
        </w:tc>
        <w:tc>
          <w:tcPr>
            <w:tcW w:w="553" w:type="dxa"/>
            <w:tcBorders>
              <w:top w:val="single" w:color="000000" w:sz="4" w:space="0"/>
              <w:left w:val="single" w:color="000000" w:sz="4" w:space="0"/>
              <w:bottom w:val="single" w:color="000000" w:sz="4" w:space="0"/>
              <w:right w:val="single" w:color="000000" w:sz="4" w:space="0"/>
            </w:tcBorders>
            <w:vAlign w:val="center"/>
          </w:tcPr>
          <w:p w14:paraId="610A60FA">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Ⅱ2</w:t>
            </w:r>
          </w:p>
        </w:tc>
        <w:tc>
          <w:tcPr>
            <w:tcW w:w="970" w:type="dxa"/>
            <w:tcBorders>
              <w:top w:val="single" w:color="000000" w:sz="4" w:space="0"/>
              <w:left w:val="single" w:color="000000" w:sz="4" w:space="0"/>
              <w:bottom w:val="single" w:color="000000" w:sz="4" w:space="0"/>
              <w:right w:val="single" w:color="000000" w:sz="4" w:space="0"/>
            </w:tcBorders>
            <w:vAlign w:val="center"/>
          </w:tcPr>
          <w:p w14:paraId="15EF4837">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left"/>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长林53号、长林40号、长林4号</w:t>
            </w:r>
          </w:p>
        </w:tc>
        <w:tc>
          <w:tcPr>
            <w:tcW w:w="971" w:type="dxa"/>
            <w:tcBorders>
              <w:top w:val="single" w:color="000000" w:sz="4" w:space="0"/>
              <w:left w:val="single" w:color="000000" w:sz="4" w:space="0"/>
              <w:bottom w:val="single" w:color="000000" w:sz="4" w:space="0"/>
              <w:right w:val="single" w:color="000000" w:sz="4" w:space="0"/>
            </w:tcBorders>
            <w:vAlign w:val="center"/>
          </w:tcPr>
          <w:p w14:paraId="56F0BBC4">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水平开梯</w:t>
            </w:r>
          </w:p>
          <w:p w14:paraId="404ABEBF">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（梯面3-6m）</w:t>
            </w:r>
          </w:p>
        </w:tc>
      </w:tr>
      <w:tr w14:paraId="00C47AAE">
        <w:tblPrEx>
          <w:tblCellMar>
            <w:top w:w="0" w:type="dxa"/>
            <w:left w:w="57" w:type="dxa"/>
            <w:bottom w:w="0" w:type="dxa"/>
            <w:right w:w="57" w:type="dxa"/>
          </w:tblCellMar>
        </w:tblPrEx>
        <w:trPr>
          <w:trHeight w:val="588" w:hRule="atLeast"/>
          <w:jc w:val="center"/>
        </w:trPr>
        <w:tc>
          <w:tcPr>
            <w:tcW w:w="809" w:type="dxa"/>
            <w:vMerge w:val="continue"/>
            <w:tcBorders>
              <w:top w:val="single" w:color="000000" w:sz="4" w:space="0"/>
              <w:left w:val="single" w:color="000000" w:sz="4" w:space="0"/>
              <w:bottom w:val="single" w:color="000000" w:sz="4" w:space="0"/>
              <w:right w:val="single" w:color="000000" w:sz="4" w:space="0"/>
            </w:tcBorders>
            <w:vAlign w:val="center"/>
          </w:tcPr>
          <w:p w14:paraId="035C49AD">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rPr>
                <w:rFonts w:hint="eastAsia" w:ascii="楷体" w:hAnsi="楷体" w:eastAsia="楷体" w:cs="楷体"/>
                <w:color w:val="000000"/>
                <w:spacing w:val="-11"/>
                <w:w w:val="95"/>
                <w:sz w:val="18"/>
                <w:szCs w:val="18"/>
              </w:rPr>
            </w:pPr>
          </w:p>
        </w:tc>
        <w:tc>
          <w:tcPr>
            <w:tcW w:w="974" w:type="dxa"/>
            <w:tcBorders>
              <w:top w:val="single" w:color="000000" w:sz="4" w:space="0"/>
              <w:left w:val="single" w:color="000000" w:sz="4" w:space="0"/>
              <w:bottom w:val="single" w:color="000000" w:sz="4" w:space="0"/>
              <w:right w:val="single" w:color="000000" w:sz="4" w:space="0"/>
            </w:tcBorders>
            <w:vAlign w:val="center"/>
          </w:tcPr>
          <w:p w14:paraId="59FEC14D">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斜坡（16-25）</w:t>
            </w:r>
          </w:p>
        </w:tc>
        <w:tc>
          <w:tcPr>
            <w:tcW w:w="853" w:type="dxa"/>
            <w:tcBorders>
              <w:top w:val="single" w:color="000000" w:sz="4" w:space="0"/>
              <w:left w:val="single" w:color="000000" w:sz="4" w:space="0"/>
              <w:bottom w:val="single" w:color="000000" w:sz="4" w:space="0"/>
              <w:right w:val="single" w:color="000000" w:sz="4" w:space="0"/>
            </w:tcBorders>
            <w:vAlign w:val="center"/>
          </w:tcPr>
          <w:p w14:paraId="58CA81A8">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红壤、黄壤</w:t>
            </w:r>
          </w:p>
        </w:tc>
        <w:tc>
          <w:tcPr>
            <w:tcW w:w="840" w:type="dxa"/>
            <w:tcBorders>
              <w:top w:val="single" w:color="000000" w:sz="4" w:space="0"/>
              <w:left w:val="single" w:color="000000" w:sz="4" w:space="0"/>
              <w:bottom w:val="single" w:color="000000" w:sz="4" w:space="0"/>
              <w:right w:val="single" w:color="000000" w:sz="4" w:space="0"/>
            </w:tcBorders>
            <w:vAlign w:val="center"/>
          </w:tcPr>
          <w:p w14:paraId="69358C1A">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厚层土</w:t>
            </w:r>
          </w:p>
          <w:p w14:paraId="2872D24F">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lang w:eastAsia="zh-CN"/>
              </w:rPr>
            </w:pPr>
            <w:r>
              <w:rPr>
                <w:rFonts w:hint="eastAsia" w:ascii="楷体" w:hAnsi="楷体" w:eastAsia="楷体" w:cs="楷体"/>
                <w:color w:val="000000"/>
                <w:spacing w:val="-11"/>
                <w:w w:val="95"/>
                <w:kern w:val="0"/>
                <w:sz w:val="18"/>
                <w:szCs w:val="18"/>
                <w:lang w:eastAsia="zh-CN" w:bidi="ar"/>
              </w:rPr>
              <w:t>（</w:t>
            </w:r>
            <w:r>
              <w:rPr>
                <w:rFonts w:hint="eastAsia" w:ascii="楷体" w:hAnsi="楷体" w:eastAsia="楷体" w:cs="楷体"/>
                <w:color w:val="000000"/>
                <w:spacing w:val="-11"/>
                <w:w w:val="95"/>
                <w:kern w:val="0"/>
                <w:sz w:val="18"/>
                <w:szCs w:val="18"/>
                <w:lang w:bidi="ar"/>
              </w:rPr>
              <w:t>≥80</w:t>
            </w:r>
            <w:r>
              <w:rPr>
                <w:rFonts w:hint="eastAsia" w:ascii="楷体" w:hAnsi="楷体" w:eastAsia="楷体" w:cs="楷体"/>
                <w:color w:val="000000"/>
                <w:spacing w:val="-11"/>
                <w:w w:val="95"/>
                <w:kern w:val="0"/>
                <w:sz w:val="18"/>
                <w:szCs w:val="18"/>
                <w:lang w:eastAsia="zh-CN" w:bidi="ar"/>
              </w:rPr>
              <w:t>）</w:t>
            </w:r>
          </w:p>
        </w:tc>
        <w:tc>
          <w:tcPr>
            <w:tcW w:w="1455" w:type="dxa"/>
            <w:tcBorders>
              <w:top w:val="single" w:color="000000" w:sz="4" w:space="0"/>
              <w:left w:val="single" w:color="000000" w:sz="4" w:space="0"/>
              <w:bottom w:val="single" w:color="000000" w:sz="4" w:space="0"/>
              <w:right w:val="single" w:color="000000" w:sz="4" w:space="0"/>
            </w:tcBorders>
            <w:vAlign w:val="center"/>
          </w:tcPr>
          <w:p w14:paraId="7690BA85">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杉木、马尾松、毛竹、</w:t>
            </w:r>
            <w:r>
              <w:rPr>
                <w:rFonts w:hint="eastAsia" w:ascii="楷体" w:hAnsi="楷体" w:eastAsia="楷体" w:cs="楷体"/>
                <w:color w:val="000000"/>
                <w:spacing w:val="-11"/>
                <w:w w:val="95"/>
                <w:kern w:val="0"/>
                <w:sz w:val="18"/>
                <w:szCs w:val="18"/>
                <w:lang w:val="en-US" w:eastAsia="zh-CN" w:bidi="ar"/>
              </w:rPr>
              <w:t>阔叶树、</w:t>
            </w:r>
            <w:r>
              <w:rPr>
                <w:rFonts w:hint="eastAsia" w:ascii="楷体" w:hAnsi="楷体" w:eastAsia="楷体" w:cs="楷体"/>
                <w:color w:val="000000"/>
                <w:spacing w:val="-11"/>
                <w:w w:val="95"/>
                <w:kern w:val="0"/>
                <w:sz w:val="18"/>
                <w:szCs w:val="18"/>
                <w:lang w:bidi="ar"/>
              </w:rPr>
              <w:t>蕨类</w:t>
            </w:r>
            <w:r>
              <w:rPr>
                <w:rFonts w:hint="eastAsia" w:ascii="楷体" w:hAnsi="楷体" w:eastAsia="楷体" w:cs="楷体"/>
                <w:color w:val="000000"/>
                <w:spacing w:val="-11"/>
                <w:w w:val="95"/>
                <w:kern w:val="0"/>
                <w:sz w:val="18"/>
                <w:szCs w:val="18"/>
                <w:lang w:val="en-US" w:eastAsia="zh-CN" w:bidi="ar"/>
              </w:rPr>
              <w:t>等</w:t>
            </w:r>
          </w:p>
        </w:tc>
        <w:tc>
          <w:tcPr>
            <w:tcW w:w="995" w:type="dxa"/>
            <w:tcBorders>
              <w:top w:val="single" w:color="000000" w:sz="4" w:space="0"/>
              <w:left w:val="single" w:color="000000" w:sz="4" w:space="0"/>
              <w:bottom w:val="single" w:color="000000" w:sz="4" w:space="0"/>
              <w:right w:val="single" w:color="000000" w:sz="4" w:space="0"/>
            </w:tcBorders>
            <w:vAlign w:val="center"/>
          </w:tcPr>
          <w:p w14:paraId="0BD4928C">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丘陵斜坡厚土立地类型</w:t>
            </w:r>
          </w:p>
        </w:tc>
        <w:tc>
          <w:tcPr>
            <w:tcW w:w="553" w:type="dxa"/>
            <w:tcBorders>
              <w:top w:val="single" w:color="000000" w:sz="4" w:space="0"/>
              <w:left w:val="single" w:color="000000" w:sz="4" w:space="0"/>
              <w:bottom w:val="single" w:color="000000" w:sz="4" w:space="0"/>
              <w:right w:val="single" w:color="000000" w:sz="4" w:space="0"/>
            </w:tcBorders>
            <w:vAlign w:val="center"/>
          </w:tcPr>
          <w:p w14:paraId="7D36298E">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Ⅱ3</w:t>
            </w:r>
          </w:p>
        </w:tc>
        <w:tc>
          <w:tcPr>
            <w:tcW w:w="970" w:type="dxa"/>
            <w:tcBorders>
              <w:top w:val="single" w:color="000000" w:sz="4" w:space="0"/>
              <w:left w:val="single" w:color="000000" w:sz="4" w:space="0"/>
              <w:bottom w:val="single" w:color="000000" w:sz="4" w:space="0"/>
              <w:right w:val="single" w:color="000000" w:sz="4" w:space="0"/>
            </w:tcBorders>
            <w:vAlign w:val="center"/>
          </w:tcPr>
          <w:p w14:paraId="7F9DCAB9">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left"/>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长林53号、长林40号、长林4号</w:t>
            </w:r>
          </w:p>
        </w:tc>
        <w:tc>
          <w:tcPr>
            <w:tcW w:w="971" w:type="dxa"/>
            <w:tcBorders>
              <w:top w:val="single" w:color="000000" w:sz="4" w:space="0"/>
              <w:left w:val="single" w:color="000000" w:sz="4" w:space="0"/>
              <w:bottom w:val="single" w:color="000000" w:sz="4" w:space="0"/>
              <w:right w:val="single" w:color="000000" w:sz="4" w:space="0"/>
            </w:tcBorders>
            <w:vAlign w:val="center"/>
          </w:tcPr>
          <w:p w14:paraId="33E8E4B9">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水平开梯</w:t>
            </w:r>
          </w:p>
          <w:p w14:paraId="1284B784">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（梯面3-6m）</w:t>
            </w:r>
          </w:p>
        </w:tc>
      </w:tr>
      <w:tr w14:paraId="717FD880">
        <w:tblPrEx>
          <w:tblCellMar>
            <w:top w:w="0" w:type="dxa"/>
            <w:left w:w="57" w:type="dxa"/>
            <w:bottom w:w="0" w:type="dxa"/>
            <w:right w:w="57" w:type="dxa"/>
          </w:tblCellMar>
        </w:tblPrEx>
        <w:trPr>
          <w:trHeight w:val="588" w:hRule="atLeast"/>
          <w:jc w:val="center"/>
        </w:trPr>
        <w:tc>
          <w:tcPr>
            <w:tcW w:w="809" w:type="dxa"/>
            <w:vMerge w:val="continue"/>
            <w:tcBorders>
              <w:top w:val="single" w:color="000000" w:sz="4" w:space="0"/>
              <w:left w:val="single" w:color="000000" w:sz="4" w:space="0"/>
              <w:bottom w:val="single" w:color="000000" w:sz="4" w:space="0"/>
              <w:right w:val="single" w:color="000000" w:sz="4" w:space="0"/>
            </w:tcBorders>
            <w:vAlign w:val="center"/>
          </w:tcPr>
          <w:p w14:paraId="1FDECA60">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rPr>
                <w:rFonts w:hint="eastAsia" w:ascii="楷体" w:hAnsi="楷体" w:eastAsia="楷体" w:cs="楷体"/>
                <w:color w:val="000000"/>
                <w:spacing w:val="-11"/>
                <w:w w:val="95"/>
                <w:sz w:val="18"/>
                <w:szCs w:val="18"/>
              </w:rPr>
            </w:pPr>
          </w:p>
        </w:tc>
        <w:tc>
          <w:tcPr>
            <w:tcW w:w="974" w:type="dxa"/>
            <w:tcBorders>
              <w:top w:val="single" w:color="000000" w:sz="4" w:space="0"/>
              <w:left w:val="single" w:color="000000" w:sz="4" w:space="0"/>
              <w:bottom w:val="single" w:color="000000" w:sz="4" w:space="0"/>
              <w:right w:val="single" w:color="000000" w:sz="4" w:space="0"/>
            </w:tcBorders>
            <w:vAlign w:val="center"/>
          </w:tcPr>
          <w:p w14:paraId="104BAF65">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缓坡（6-15）</w:t>
            </w:r>
          </w:p>
        </w:tc>
        <w:tc>
          <w:tcPr>
            <w:tcW w:w="853" w:type="dxa"/>
            <w:tcBorders>
              <w:top w:val="single" w:color="000000" w:sz="4" w:space="0"/>
              <w:left w:val="single" w:color="000000" w:sz="4" w:space="0"/>
              <w:bottom w:val="single" w:color="000000" w:sz="4" w:space="0"/>
              <w:right w:val="single" w:color="000000" w:sz="4" w:space="0"/>
            </w:tcBorders>
            <w:vAlign w:val="center"/>
          </w:tcPr>
          <w:p w14:paraId="2518321B">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红壤、黄壤</w:t>
            </w:r>
          </w:p>
        </w:tc>
        <w:tc>
          <w:tcPr>
            <w:tcW w:w="840" w:type="dxa"/>
            <w:tcBorders>
              <w:top w:val="single" w:color="000000" w:sz="4" w:space="0"/>
              <w:left w:val="single" w:color="000000" w:sz="4" w:space="0"/>
              <w:bottom w:val="single" w:color="000000" w:sz="4" w:space="0"/>
              <w:right w:val="single" w:color="000000" w:sz="4" w:space="0"/>
            </w:tcBorders>
            <w:vAlign w:val="center"/>
          </w:tcPr>
          <w:p w14:paraId="1F574E81">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中层土</w:t>
            </w:r>
          </w:p>
          <w:p w14:paraId="31193E52">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lang w:eastAsia="zh-CN"/>
              </w:rPr>
            </w:pPr>
            <w:r>
              <w:rPr>
                <w:rFonts w:hint="eastAsia" w:ascii="楷体" w:hAnsi="楷体" w:eastAsia="楷体" w:cs="楷体"/>
                <w:color w:val="000000"/>
                <w:spacing w:val="-11"/>
                <w:w w:val="95"/>
                <w:kern w:val="0"/>
                <w:sz w:val="18"/>
                <w:szCs w:val="18"/>
                <w:lang w:bidi="ar"/>
              </w:rPr>
              <w:t>（40～79</w:t>
            </w:r>
            <w:r>
              <w:rPr>
                <w:rFonts w:hint="eastAsia" w:ascii="楷体" w:hAnsi="楷体" w:eastAsia="楷体" w:cs="楷体"/>
                <w:color w:val="000000"/>
                <w:spacing w:val="-11"/>
                <w:w w:val="95"/>
                <w:kern w:val="0"/>
                <w:sz w:val="18"/>
                <w:szCs w:val="18"/>
                <w:lang w:eastAsia="zh-CN" w:bidi="ar"/>
              </w:rPr>
              <w:t>）</w:t>
            </w:r>
          </w:p>
        </w:tc>
        <w:tc>
          <w:tcPr>
            <w:tcW w:w="1455" w:type="dxa"/>
            <w:tcBorders>
              <w:top w:val="single" w:color="000000" w:sz="4" w:space="0"/>
              <w:left w:val="single" w:color="000000" w:sz="4" w:space="0"/>
              <w:bottom w:val="single" w:color="000000" w:sz="4" w:space="0"/>
              <w:right w:val="single" w:color="000000" w:sz="4" w:space="0"/>
            </w:tcBorders>
            <w:vAlign w:val="center"/>
          </w:tcPr>
          <w:p w14:paraId="40966CE5">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杉木、马尾松、毛竹、</w:t>
            </w:r>
            <w:r>
              <w:rPr>
                <w:rFonts w:hint="eastAsia" w:ascii="楷体" w:hAnsi="楷体" w:eastAsia="楷体" w:cs="楷体"/>
                <w:color w:val="000000"/>
                <w:spacing w:val="-11"/>
                <w:w w:val="95"/>
                <w:kern w:val="0"/>
                <w:sz w:val="18"/>
                <w:szCs w:val="18"/>
                <w:lang w:val="en-US" w:eastAsia="zh-CN" w:bidi="ar"/>
              </w:rPr>
              <w:t>阔叶树、</w:t>
            </w:r>
            <w:r>
              <w:rPr>
                <w:rFonts w:hint="eastAsia" w:ascii="楷体" w:hAnsi="楷体" w:eastAsia="楷体" w:cs="楷体"/>
                <w:color w:val="000000"/>
                <w:spacing w:val="-11"/>
                <w:w w:val="95"/>
                <w:kern w:val="0"/>
                <w:sz w:val="18"/>
                <w:szCs w:val="18"/>
                <w:lang w:bidi="ar"/>
              </w:rPr>
              <w:t>蕨类</w:t>
            </w:r>
            <w:r>
              <w:rPr>
                <w:rFonts w:hint="eastAsia" w:ascii="楷体" w:hAnsi="楷体" w:eastAsia="楷体" w:cs="楷体"/>
                <w:color w:val="000000"/>
                <w:spacing w:val="-11"/>
                <w:w w:val="95"/>
                <w:kern w:val="0"/>
                <w:sz w:val="18"/>
                <w:szCs w:val="18"/>
                <w:lang w:val="en-US" w:eastAsia="zh-CN" w:bidi="ar"/>
              </w:rPr>
              <w:t>等</w:t>
            </w:r>
          </w:p>
        </w:tc>
        <w:tc>
          <w:tcPr>
            <w:tcW w:w="995" w:type="dxa"/>
            <w:tcBorders>
              <w:top w:val="single" w:color="000000" w:sz="4" w:space="0"/>
              <w:left w:val="single" w:color="000000" w:sz="4" w:space="0"/>
              <w:bottom w:val="single" w:color="000000" w:sz="4" w:space="0"/>
              <w:right w:val="single" w:color="000000" w:sz="4" w:space="0"/>
            </w:tcBorders>
            <w:vAlign w:val="center"/>
          </w:tcPr>
          <w:p w14:paraId="50014FEA">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丘陵缓坡中土立地类型</w:t>
            </w:r>
          </w:p>
        </w:tc>
        <w:tc>
          <w:tcPr>
            <w:tcW w:w="553" w:type="dxa"/>
            <w:tcBorders>
              <w:top w:val="single" w:color="000000" w:sz="4" w:space="0"/>
              <w:left w:val="single" w:color="000000" w:sz="4" w:space="0"/>
              <w:bottom w:val="single" w:color="000000" w:sz="4" w:space="0"/>
              <w:right w:val="single" w:color="000000" w:sz="4" w:space="0"/>
            </w:tcBorders>
            <w:vAlign w:val="center"/>
          </w:tcPr>
          <w:p w14:paraId="42267C81">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Ⅱ5</w:t>
            </w:r>
          </w:p>
        </w:tc>
        <w:tc>
          <w:tcPr>
            <w:tcW w:w="970" w:type="dxa"/>
            <w:tcBorders>
              <w:top w:val="single" w:color="000000" w:sz="4" w:space="0"/>
              <w:left w:val="single" w:color="000000" w:sz="4" w:space="0"/>
              <w:bottom w:val="single" w:color="000000" w:sz="4" w:space="0"/>
              <w:right w:val="single" w:color="000000" w:sz="4" w:space="0"/>
            </w:tcBorders>
            <w:vAlign w:val="center"/>
          </w:tcPr>
          <w:p w14:paraId="3B045B94">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left"/>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长林53号、长林40号、长林4号</w:t>
            </w:r>
          </w:p>
        </w:tc>
        <w:tc>
          <w:tcPr>
            <w:tcW w:w="971" w:type="dxa"/>
            <w:tcBorders>
              <w:top w:val="single" w:color="000000" w:sz="4" w:space="0"/>
              <w:left w:val="single" w:color="000000" w:sz="4" w:space="0"/>
              <w:bottom w:val="single" w:color="000000" w:sz="4" w:space="0"/>
              <w:right w:val="single" w:color="000000" w:sz="4" w:space="0"/>
            </w:tcBorders>
            <w:vAlign w:val="center"/>
          </w:tcPr>
          <w:p w14:paraId="582E6F27">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水平开梯</w:t>
            </w:r>
          </w:p>
          <w:p w14:paraId="6BE0FFE0">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（梯面3-6m）</w:t>
            </w:r>
          </w:p>
        </w:tc>
      </w:tr>
      <w:tr w14:paraId="41075A6F">
        <w:tblPrEx>
          <w:tblCellMar>
            <w:top w:w="0" w:type="dxa"/>
            <w:left w:w="57" w:type="dxa"/>
            <w:bottom w:w="0" w:type="dxa"/>
            <w:right w:w="57" w:type="dxa"/>
          </w:tblCellMar>
        </w:tblPrEx>
        <w:trPr>
          <w:trHeight w:val="588" w:hRule="atLeast"/>
          <w:jc w:val="center"/>
        </w:trPr>
        <w:tc>
          <w:tcPr>
            <w:tcW w:w="809" w:type="dxa"/>
            <w:vMerge w:val="continue"/>
            <w:tcBorders>
              <w:top w:val="single" w:color="000000" w:sz="4" w:space="0"/>
              <w:left w:val="single" w:color="000000" w:sz="4" w:space="0"/>
              <w:bottom w:val="single" w:color="000000" w:sz="4" w:space="0"/>
              <w:right w:val="single" w:color="000000" w:sz="4" w:space="0"/>
            </w:tcBorders>
            <w:vAlign w:val="center"/>
          </w:tcPr>
          <w:p w14:paraId="4B3E3236">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rPr>
                <w:rFonts w:hint="eastAsia" w:ascii="楷体" w:hAnsi="楷体" w:eastAsia="楷体" w:cs="楷体"/>
                <w:color w:val="000000"/>
                <w:spacing w:val="-11"/>
                <w:w w:val="95"/>
                <w:sz w:val="18"/>
                <w:szCs w:val="18"/>
              </w:rPr>
            </w:pPr>
          </w:p>
        </w:tc>
        <w:tc>
          <w:tcPr>
            <w:tcW w:w="974" w:type="dxa"/>
            <w:tcBorders>
              <w:top w:val="single" w:color="000000" w:sz="4" w:space="0"/>
              <w:left w:val="single" w:color="000000" w:sz="4" w:space="0"/>
              <w:bottom w:val="single" w:color="000000" w:sz="4" w:space="0"/>
              <w:right w:val="single" w:color="000000" w:sz="4" w:space="0"/>
            </w:tcBorders>
            <w:vAlign w:val="center"/>
          </w:tcPr>
          <w:p w14:paraId="7B3F4CF7">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斜坡（16-25）</w:t>
            </w:r>
          </w:p>
        </w:tc>
        <w:tc>
          <w:tcPr>
            <w:tcW w:w="853" w:type="dxa"/>
            <w:tcBorders>
              <w:top w:val="single" w:color="000000" w:sz="4" w:space="0"/>
              <w:left w:val="single" w:color="000000" w:sz="4" w:space="0"/>
              <w:bottom w:val="single" w:color="000000" w:sz="4" w:space="0"/>
              <w:right w:val="single" w:color="000000" w:sz="4" w:space="0"/>
            </w:tcBorders>
            <w:vAlign w:val="center"/>
          </w:tcPr>
          <w:p w14:paraId="7FF60371">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红壤、黄壤</w:t>
            </w:r>
          </w:p>
        </w:tc>
        <w:tc>
          <w:tcPr>
            <w:tcW w:w="840" w:type="dxa"/>
            <w:tcBorders>
              <w:top w:val="single" w:color="000000" w:sz="4" w:space="0"/>
              <w:left w:val="single" w:color="000000" w:sz="4" w:space="0"/>
              <w:bottom w:val="single" w:color="000000" w:sz="4" w:space="0"/>
              <w:right w:val="single" w:color="000000" w:sz="4" w:space="0"/>
            </w:tcBorders>
            <w:vAlign w:val="center"/>
          </w:tcPr>
          <w:p w14:paraId="266B0ACE">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中层土</w:t>
            </w:r>
          </w:p>
          <w:p w14:paraId="0899DB53">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（40～79</w:t>
            </w:r>
            <w:r>
              <w:rPr>
                <w:rFonts w:hint="eastAsia" w:ascii="楷体" w:hAnsi="楷体" w:eastAsia="楷体" w:cs="楷体"/>
                <w:color w:val="000000"/>
                <w:spacing w:val="-11"/>
                <w:w w:val="95"/>
                <w:kern w:val="0"/>
                <w:sz w:val="18"/>
                <w:szCs w:val="18"/>
                <w:lang w:eastAsia="zh-CN" w:bidi="ar"/>
              </w:rPr>
              <w:t>）</w:t>
            </w:r>
          </w:p>
        </w:tc>
        <w:tc>
          <w:tcPr>
            <w:tcW w:w="1455" w:type="dxa"/>
            <w:tcBorders>
              <w:top w:val="single" w:color="000000" w:sz="4" w:space="0"/>
              <w:left w:val="single" w:color="000000" w:sz="4" w:space="0"/>
              <w:bottom w:val="single" w:color="000000" w:sz="4" w:space="0"/>
              <w:right w:val="single" w:color="000000" w:sz="4" w:space="0"/>
            </w:tcBorders>
            <w:vAlign w:val="center"/>
          </w:tcPr>
          <w:p w14:paraId="3AB87B04">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杉木、马尾松、毛竹、</w:t>
            </w:r>
            <w:r>
              <w:rPr>
                <w:rFonts w:hint="eastAsia" w:ascii="楷体" w:hAnsi="楷体" w:eastAsia="楷体" w:cs="楷体"/>
                <w:color w:val="000000"/>
                <w:spacing w:val="-11"/>
                <w:w w:val="95"/>
                <w:kern w:val="0"/>
                <w:sz w:val="18"/>
                <w:szCs w:val="18"/>
                <w:lang w:val="en-US" w:eastAsia="zh-CN" w:bidi="ar"/>
              </w:rPr>
              <w:t>阔叶树、</w:t>
            </w:r>
            <w:r>
              <w:rPr>
                <w:rFonts w:hint="eastAsia" w:ascii="楷体" w:hAnsi="楷体" w:eastAsia="楷体" w:cs="楷体"/>
                <w:color w:val="000000"/>
                <w:spacing w:val="-11"/>
                <w:w w:val="95"/>
                <w:kern w:val="0"/>
                <w:sz w:val="18"/>
                <w:szCs w:val="18"/>
                <w:lang w:bidi="ar"/>
              </w:rPr>
              <w:t>蕨类</w:t>
            </w:r>
            <w:r>
              <w:rPr>
                <w:rFonts w:hint="eastAsia" w:ascii="楷体" w:hAnsi="楷体" w:eastAsia="楷体" w:cs="楷体"/>
                <w:color w:val="000000"/>
                <w:spacing w:val="-11"/>
                <w:w w:val="95"/>
                <w:kern w:val="0"/>
                <w:sz w:val="18"/>
                <w:szCs w:val="18"/>
                <w:lang w:val="en-US" w:eastAsia="zh-CN" w:bidi="ar"/>
              </w:rPr>
              <w:t>等</w:t>
            </w:r>
          </w:p>
        </w:tc>
        <w:tc>
          <w:tcPr>
            <w:tcW w:w="995" w:type="dxa"/>
            <w:tcBorders>
              <w:top w:val="single" w:color="000000" w:sz="4" w:space="0"/>
              <w:left w:val="single" w:color="000000" w:sz="4" w:space="0"/>
              <w:bottom w:val="single" w:color="000000" w:sz="4" w:space="0"/>
              <w:right w:val="single" w:color="000000" w:sz="4" w:space="0"/>
            </w:tcBorders>
            <w:vAlign w:val="center"/>
          </w:tcPr>
          <w:p w14:paraId="60628D08">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丘陵斜坡中土立地类型</w:t>
            </w:r>
          </w:p>
        </w:tc>
        <w:tc>
          <w:tcPr>
            <w:tcW w:w="553" w:type="dxa"/>
            <w:tcBorders>
              <w:top w:val="single" w:color="000000" w:sz="4" w:space="0"/>
              <w:left w:val="single" w:color="000000" w:sz="4" w:space="0"/>
              <w:bottom w:val="single" w:color="000000" w:sz="4" w:space="0"/>
              <w:right w:val="single" w:color="000000" w:sz="4" w:space="0"/>
            </w:tcBorders>
            <w:vAlign w:val="center"/>
          </w:tcPr>
          <w:p w14:paraId="59B92422">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Ⅱ6</w:t>
            </w:r>
          </w:p>
        </w:tc>
        <w:tc>
          <w:tcPr>
            <w:tcW w:w="970" w:type="dxa"/>
            <w:tcBorders>
              <w:top w:val="single" w:color="000000" w:sz="4" w:space="0"/>
              <w:left w:val="single" w:color="000000" w:sz="4" w:space="0"/>
              <w:bottom w:val="single" w:color="000000" w:sz="4" w:space="0"/>
              <w:right w:val="single" w:color="000000" w:sz="4" w:space="0"/>
            </w:tcBorders>
            <w:vAlign w:val="center"/>
          </w:tcPr>
          <w:p w14:paraId="5CCB0D43">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left"/>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长林53号、长林40号、长林4号</w:t>
            </w:r>
          </w:p>
        </w:tc>
        <w:tc>
          <w:tcPr>
            <w:tcW w:w="971" w:type="dxa"/>
            <w:tcBorders>
              <w:top w:val="single" w:color="000000" w:sz="4" w:space="0"/>
              <w:left w:val="single" w:color="000000" w:sz="4" w:space="0"/>
              <w:bottom w:val="single" w:color="000000" w:sz="4" w:space="0"/>
              <w:right w:val="single" w:color="000000" w:sz="4" w:space="0"/>
            </w:tcBorders>
            <w:vAlign w:val="center"/>
          </w:tcPr>
          <w:p w14:paraId="3E5E6CD1">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水平开梯</w:t>
            </w:r>
          </w:p>
          <w:p w14:paraId="53090FBC">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（梯面3-6m）</w:t>
            </w:r>
          </w:p>
        </w:tc>
      </w:tr>
      <w:tr w14:paraId="49644FAB">
        <w:tblPrEx>
          <w:tblCellMar>
            <w:top w:w="0" w:type="dxa"/>
            <w:left w:w="57" w:type="dxa"/>
            <w:bottom w:w="0" w:type="dxa"/>
            <w:right w:w="57" w:type="dxa"/>
          </w:tblCellMar>
        </w:tblPrEx>
        <w:trPr>
          <w:trHeight w:val="588" w:hRule="atLeast"/>
          <w:jc w:val="center"/>
        </w:trPr>
        <w:tc>
          <w:tcPr>
            <w:tcW w:w="809" w:type="dxa"/>
            <w:vMerge w:val="continue"/>
            <w:tcBorders>
              <w:top w:val="single" w:color="000000" w:sz="4" w:space="0"/>
              <w:left w:val="single" w:color="000000" w:sz="4" w:space="0"/>
              <w:bottom w:val="single" w:color="000000" w:sz="4" w:space="0"/>
              <w:right w:val="single" w:color="000000" w:sz="4" w:space="0"/>
            </w:tcBorders>
            <w:vAlign w:val="center"/>
          </w:tcPr>
          <w:p w14:paraId="69B75FC0">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rPr>
                <w:rFonts w:hint="eastAsia" w:ascii="楷体" w:hAnsi="楷体" w:eastAsia="楷体" w:cs="楷体"/>
                <w:color w:val="000000"/>
                <w:spacing w:val="-11"/>
                <w:w w:val="95"/>
                <w:sz w:val="18"/>
                <w:szCs w:val="18"/>
              </w:rPr>
            </w:pPr>
          </w:p>
        </w:tc>
        <w:tc>
          <w:tcPr>
            <w:tcW w:w="974" w:type="dxa"/>
            <w:tcBorders>
              <w:top w:val="single" w:color="000000" w:sz="4" w:space="0"/>
              <w:left w:val="single" w:color="000000" w:sz="4" w:space="0"/>
              <w:bottom w:val="single" w:color="000000" w:sz="4" w:space="0"/>
              <w:right w:val="single" w:color="000000" w:sz="4" w:space="0"/>
            </w:tcBorders>
            <w:vAlign w:val="center"/>
          </w:tcPr>
          <w:p w14:paraId="3D618C3A">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val="en-US" w:eastAsia="zh-CN" w:bidi="ar"/>
              </w:rPr>
              <w:t>陡</w:t>
            </w:r>
            <w:r>
              <w:rPr>
                <w:rFonts w:hint="eastAsia" w:ascii="楷体" w:hAnsi="楷体" w:eastAsia="楷体" w:cs="楷体"/>
                <w:color w:val="000000"/>
                <w:spacing w:val="-11"/>
                <w:w w:val="95"/>
                <w:kern w:val="0"/>
                <w:sz w:val="18"/>
                <w:szCs w:val="18"/>
                <w:lang w:bidi="ar"/>
              </w:rPr>
              <w:t>坡（</w:t>
            </w:r>
            <w:r>
              <w:rPr>
                <w:rFonts w:hint="eastAsia" w:ascii="楷体" w:hAnsi="楷体" w:eastAsia="楷体" w:cs="楷体"/>
                <w:color w:val="000000"/>
                <w:spacing w:val="-11"/>
                <w:w w:val="95"/>
                <w:kern w:val="0"/>
                <w:sz w:val="18"/>
                <w:szCs w:val="18"/>
                <w:lang w:val="en-US" w:eastAsia="zh-CN" w:bidi="ar"/>
              </w:rPr>
              <w:t>26</w:t>
            </w:r>
            <w:r>
              <w:rPr>
                <w:rFonts w:hint="eastAsia" w:ascii="楷体" w:hAnsi="楷体" w:eastAsia="楷体" w:cs="楷体"/>
                <w:color w:val="000000"/>
                <w:spacing w:val="-11"/>
                <w:w w:val="95"/>
                <w:kern w:val="0"/>
                <w:sz w:val="18"/>
                <w:szCs w:val="18"/>
                <w:lang w:bidi="ar"/>
              </w:rPr>
              <w:t>-</w:t>
            </w:r>
            <w:r>
              <w:rPr>
                <w:rFonts w:hint="eastAsia" w:ascii="楷体" w:hAnsi="楷体" w:eastAsia="楷体" w:cs="楷体"/>
                <w:color w:val="000000"/>
                <w:spacing w:val="-11"/>
                <w:w w:val="95"/>
                <w:kern w:val="0"/>
                <w:sz w:val="18"/>
                <w:szCs w:val="18"/>
                <w:lang w:val="en-US" w:eastAsia="zh-CN" w:bidi="ar"/>
              </w:rPr>
              <w:t>3</w:t>
            </w:r>
            <w:r>
              <w:rPr>
                <w:rFonts w:hint="eastAsia" w:ascii="楷体" w:hAnsi="楷体" w:eastAsia="楷体" w:cs="楷体"/>
                <w:color w:val="000000"/>
                <w:spacing w:val="-11"/>
                <w:w w:val="95"/>
                <w:kern w:val="0"/>
                <w:sz w:val="18"/>
                <w:szCs w:val="18"/>
                <w:lang w:bidi="ar"/>
              </w:rPr>
              <w:t>5）</w:t>
            </w:r>
          </w:p>
        </w:tc>
        <w:tc>
          <w:tcPr>
            <w:tcW w:w="853" w:type="dxa"/>
            <w:tcBorders>
              <w:top w:val="single" w:color="000000" w:sz="4" w:space="0"/>
              <w:left w:val="single" w:color="000000" w:sz="4" w:space="0"/>
              <w:bottom w:val="single" w:color="000000" w:sz="4" w:space="0"/>
              <w:right w:val="single" w:color="000000" w:sz="4" w:space="0"/>
            </w:tcBorders>
            <w:vAlign w:val="center"/>
          </w:tcPr>
          <w:p w14:paraId="06764F84">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红壤、黄壤</w:t>
            </w:r>
          </w:p>
        </w:tc>
        <w:tc>
          <w:tcPr>
            <w:tcW w:w="840" w:type="dxa"/>
            <w:tcBorders>
              <w:top w:val="single" w:color="000000" w:sz="4" w:space="0"/>
              <w:left w:val="single" w:color="000000" w:sz="4" w:space="0"/>
              <w:bottom w:val="single" w:color="000000" w:sz="4" w:space="0"/>
              <w:right w:val="single" w:color="000000" w:sz="4" w:space="0"/>
            </w:tcBorders>
            <w:vAlign w:val="center"/>
          </w:tcPr>
          <w:p w14:paraId="2ACCA598">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kern w:val="0"/>
                <w:sz w:val="18"/>
                <w:szCs w:val="18"/>
                <w:lang w:bidi="ar"/>
              </w:rPr>
            </w:pPr>
            <w:r>
              <w:rPr>
                <w:rFonts w:hint="eastAsia" w:ascii="楷体" w:hAnsi="楷体" w:eastAsia="楷体" w:cs="楷体"/>
                <w:color w:val="000000"/>
                <w:spacing w:val="-11"/>
                <w:w w:val="95"/>
                <w:kern w:val="0"/>
                <w:sz w:val="18"/>
                <w:szCs w:val="18"/>
                <w:lang w:bidi="ar"/>
              </w:rPr>
              <w:t>中层土</w:t>
            </w:r>
          </w:p>
          <w:p w14:paraId="6E6CB020">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lang w:eastAsia="zh-CN"/>
              </w:rPr>
            </w:pPr>
            <w:r>
              <w:rPr>
                <w:rFonts w:hint="eastAsia" w:ascii="楷体" w:hAnsi="楷体" w:eastAsia="楷体" w:cs="楷体"/>
                <w:color w:val="000000"/>
                <w:spacing w:val="-11"/>
                <w:w w:val="95"/>
                <w:kern w:val="0"/>
                <w:sz w:val="18"/>
                <w:szCs w:val="18"/>
                <w:lang w:bidi="ar"/>
              </w:rPr>
              <w:t>（40～79</w:t>
            </w:r>
            <w:r>
              <w:rPr>
                <w:rFonts w:hint="eastAsia" w:ascii="楷体" w:hAnsi="楷体" w:eastAsia="楷体" w:cs="楷体"/>
                <w:color w:val="000000"/>
                <w:spacing w:val="-11"/>
                <w:w w:val="95"/>
                <w:kern w:val="0"/>
                <w:sz w:val="18"/>
                <w:szCs w:val="18"/>
                <w:lang w:eastAsia="zh-CN" w:bidi="ar"/>
              </w:rPr>
              <w:t>）</w:t>
            </w:r>
          </w:p>
        </w:tc>
        <w:tc>
          <w:tcPr>
            <w:tcW w:w="1455" w:type="dxa"/>
            <w:tcBorders>
              <w:top w:val="single" w:color="000000" w:sz="4" w:space="0"/>
              <w:left w:val="single" w:color="000000" w:sz="4" w:space="0"/>
              <w:bottom w:val="single" w:color="000000" w:sz="4" w:space="0"/>
              <w:right w:val="single" w:color="000000" w:sz="4" w:space="0"/>
            </w:tcBorders>
            <w:vAlign w:val="center"/>
          </w:tcPr>
          <w:p w14:paraId="530ADA99">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杉木、马尾松、毛竹、</w:t>
            </w:r>
            <w:r>
              <w:rPr>
                <w:rFonts w:hint="eastAsia" w:ascii="楷体" w:hAnsi="楷体" w:eastAsia="楷体" w:cs="楷体"/>
                <w:color w:val="000000"/>
                <w:spacing w:val="-11"/>
                <w:w w:val="95"/>
                <w:kern w:val="0"/>
                <w:sz w:val="18"/>
                <w:szCs w:val="18"/>
                <w:lang w:val="en-US" w:eastAsia="zh-CN" w:bidi="ar"/>
              </w:rPr>
              <w:t>阔叶树、</w:t>
            </w:r>
            <w:r>
              <w:rPr>
                <w:rFonts w:hint="eastAsia" w:ascii="楷体" w:hAnsi="楷体" w:eastAsia="楷体" w:cs="楷体"/>
                <w:color w:val="000000"/>
                <w:spacing w:val="-11"/>
                <w:w w:val="95"/>
                <w:kern w:val="0"/>
                <w:sz w:val="18"/>
                <w:szCs w:val="18"/>
                <w:lang w:bidi="ar"/>
              </w:rPr>
              <w:t>蕨类</w:t>
            </w:r>
            <w:r>
              <w:rPr>
                <w:rFonts w:hint="eastAsia" w:ascii="楷体" w:hAnsi="楷体" w:eastAsia="楷体" w:cs="楷体"/>
                <w:color w:val="000000"/>
                <w:spacing w:val="-11"/>
                <w:w w:val="95"/>
                <w:kern w:val="0"/>
                <w:sz w:val="18"/>
                <w:szCs w:val="18"/>
                <w:lang w:val="en-US" w:eastAsia="zh-CN" w:bidi="ar"/>
              </w:rPr>
              <w:t>等</w:t>
            </w:r>
          </w:p>
        </w:tc>
        <w:tc>
          <w:tcPr>
            <w:tcW w:w="995" w:type="dxa"/>
            <w:tcBorders>
              <w:top w:val="single" w:color="000000" w:sz="4" w:space="0"/>
              <w:left w:val="single" w:color="000000" w:sz="4" w:space="0"/>
              <w:bottom w:val="single" w:color="000000" w:sz="4" w:space="0"/>
              <w:right w:val="single" w:color="000000" w:sz="4" w:space="0"/>
            </w:tcBorders>
            <w:vAlign w:val="center"/>
          </w:tcPr>
          <w:p w14:paraId="5BEAC2FB">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低山</w:t>
            </w:r>
            <w:r>
              <w:rPr>
                <w:rFonts w:hint="eastAsia" w:ascii="楷体" w:hAnsi="楷体" w:eastAsia="楷体" w:cs="楷体"/>
                <w:color w:val="000000"/>
                <w:spacing w:val="-11"/>
                <w:w w:val="95"/>
                <w:kern w:val="0"/>
                <w:sz w:val="18"/>
                <w:szCs w:val="18"/>
                <w:lang w:val="en-US" w:eastAsia="zh-CN" w:bidi="ar"/>
              </w:rPr>
              <w:t>陡</w:t>
            </w:r>
            <w:r>
              <w:rPr>
                <w:rFonts w:hint="eastAsia" w:ascii="楷体" w:hAnsi="楷体" w:eastAsia="楷体" w:cs="楷体"/>
                <w:color w:val="000000"/>
                <w:spacing w:val="-11"/>
                <w:w w:val="95"/>
                <w:kern w:val="0"/>
                <w:sz w:val="18"/>
                <w:szCs w:val="18"/>
                <w:lang w:bidi="ar"/>
              </w:rPr>
              <w:t>坡中土立地类型</w:t>
            </w:r>
          </w:p>
        </w:tc>
        <w:tc>
          <w:tcPr>
            <w:tcW w:w="553" w:type="dxa"/>
            <w:tcBorders>
              <w:top w:val="single" w:color="000000" w:sz="4" w:space="0"/>
              <w:left w:val="single" w:color="000000" w:sz="4" w:space="0"/>
              <w:bottom w:val="single" w:color="000000" w:sz="4" w:space="0"/>
              <w:right w:val="single" w:color="000000" w:sz="4" w:space="0"/>
            </w:tcBorders>
            <w:vAlign w:val="center"/>
          </w:tcPr>
          <w:p w14:paraId="73F801EB">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lang w:val="en-US" w:eastAsia="zh-CN"/>
              </w:rPr>
            </w:pPr>
            <w:r>
              <w:rPr>
                <w:rFonts w:hint="eastAsia" w:ascii="楷体" w:hAnsi="楷体" w:eastAsia="楷体" w:cs="楷体"/>
                <w:color w:val="000000"/>
                <w:spacing w:val="-11"/>
                <w:w w:val="95"/>
                <w:kern w:val="0"/>
                <w:sz w:val="18"/>
                <w:szCs w:val="18"/>
                <w:lang w:bidi="ar"/>
              </w:rPr>
              <w:t>Ⅱ</w:t>
            </w:r>
            <w:r>
              <w:rPr>
                <w:rFonts w:hint="eastAsia" w:ascii="楷体" w:hAnsi="楷体" w:eastAsia="楷体" w:cs="楷体"/>
                <w:color w:val="000000"/>
                <w:spacing w:val="-11"/>
                <w:w w:val="95"/>
                <w:kern w:val="0"/>
                <w:sz w:val="18"/>
                <w:szCs w:val="18"/>
                <w:lang w:val="en-US" w:eastAsia="zh-CN" w:bidi="ar"/>
              </w:rPr>
              <w:t>7</w:t>
            </w:r>
          </w:p>
        </w:tc>
        <w:tc>
          <w:tcPr>
            <w:tcW w:w="970" w:type="dxa"/>
            <w:tcBorders>
              <w:top w:val="single" w:color="000000" w:sz="4" w:space="0"/>
              <w:left w:val="single" w:color="000000" w:sz="4" w:space="0"/>
              <w:bottom w:val="single" w:color="000000" w:sz="4" w:space="0"/>
              <w:right w:val="single" w:color="000000" w:sz="4" w:space="0"/>
            </w:tcBorders>
            <w:vAlign w:val="center"/>
          </w:tcPr>
          <w:p w14:paraId="434F99C6">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left"/>
              <w:textAlignment w:val="center"/>
              <w:rPr>
                <w:rFonts w:hint="eastAsia" w:ascii="楷体" w:hAnsi="楷体" w:eastAsia="楷体" w:cs="楷体"/>
                <w:color w:val="000000"/>
                <w:spacing w:val="-11"/>
                <w:w w:val="95"/>
                <w:sz w:val="18"/>
                <w:szCs w:val="18"/>
              </w:rPr>
            </w:pPr>
            <w:r>
              <w:rPr>
                <w:rFonts w:hint="eastAsia" w:ascii="楷体" w:hAnsi="楷体" w:eastAsia="楷体" w:cs="楷体"/>
                <w:color w:val="000000"/>
                <w:spacing w:val="-11"/>
                <w:w w:val="95"/>
                <w:kern w:val="0"/>
                <w:sz w:val="18"/>
                <w:szCs w:val="18"/>
                <w:lang w:bidi="ar"/>
              </w:rPr>
              <w:t>长林53号、长林40号、长林4号</w:t>
            </w:r>
          </w:p>
        </w:tc>
        <w:tc>
          <w:tcPr>
            <w:tcW w:w="971" w:type="dxa"/>
            <w:tcBorders>
              <w:top w:val="single" w:color="000000" w:sz="4" w:space="0"/>
              <w:left w:val="single" w:color="000000" w:sz="4" w:space="0"/>
              <w:bottom w:val="single" w:color="000000" w:sz="4" w:space="0"/>
              <w:right w:val="single" w:color="000000" w:sz="4" w:space="0"/>
            </w:tcBorders>
            <w:vAlign w:val="center"/>
          </w:tcPr>
          <w:p w14:paraId="05C983B0">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lang w:val="en-US" w:eastAsia="zh-CN"/>
              </w:rPr>
            </w:pPr>
            <w:r>
              <w:rPr>
                <w:rFonts w:hint="eastAsia" w:ascii="楷体" w:hAnsi="楷体" w:eastAsia="楷体" w:cs="楷体"/>
                <w:color w:val="000000"/>
                <w:spacing w:val="-11"/>
                <w:w w:val="95"/>
                <w:sz w:val="18"/>
                <w:szCs w:val="18"/>
                <w:lang w:val="en-US" w:eastAsia="zh-CN"/>
              </w:rPr>
              <w:t>块状</w:t>
            </w:r>
          </w:p>
          <w:p w14:paraId="378D6FFF">
            <w:pPr>
              <w:keepNext w:val="0"/>
              <w:keepLines w:val="0"/>
              <w:pageBreakBefore w:val="0"/>
              <w:widowControl w:val="0"/>
              <w:kinsoku/>
              <w:wordWrap/>
              <w:overflowPunct/>
              <w:topLinePunct w:val="0"/>
              <w:autoSpaceDE/>
              <w:autoSpaceDN/>
              <w:bidi w:val="0"/>
              <w:adjustRightInd/>
              <w:snapToGrid/>
              <w:spacing w:after="0" w:line="0" w:lineRule="atLeast"/>
              <w:ind w:firstLine="0" w:firstLineChars="0"/>
              <w:jc w:val="center"/>
              <w:textAlignment w:val="center"/>
              <w:rPr>
                <w:rFonts w:hint="eastAsia" w:ascii="楷体" w:hAnsi="楷体" w:eastAsia="楷体" w:cs="楷体"/>
                <w:color w:val="000000"/>
                <w:spacing w:val="-11"/>
                <w:w w:val="95"/>
                <w:sz w:val="18"/>
                <w:szCs w:val="18"/>
                <w:lang w:val="en-US" w:eastAsia="zh-CN"/>
              </w:rPr>
            </w:pPr>
            <w:r>
              <w:rPr>
                <w:rFonts w:hint="eastAsia" w:ascii="楷体" w:hAnsi="楷体" w:eastAsia="楷体" w:cs="楷体"/>
                <w:color w:val="000000"/>
                <w:spacing w:val="-11"/>
                <w:w w:val="95"/>
                <w:sz w:val="18"/>
                <w:szCs w:val="18"/>
                <w:lang w:val="en-US" w:eastAsia="zh-CN"/>
              </w:rPr>
              <w:t>（1m×1m）</w:t>
            </w:r>
          </w:p>
        </w:tc>
      </w:tr>
    </w:tbl>
    <w:p w14:paraId="244EDA33">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default" w:ascii="黑体" w:hAnsi="黑体" w:eastAsia="黑体" w:cs="Times New Roman"/>
          <w:bCs w:val="0"/>
          <w:kern w:val="0"/>
          <w:sz w:val="32"/>
          <w:szCs w:val="32"/>
          <w:lang w:val="en-US" w:eastAsia="zh-CN"/>
        </w:rPr>
      </w:pPr>
      <w:bookmarkStart w:id="197" w:name="_Toc16083"/>
      <w:bookmarkStart w:id="198" w:name="_Toc12093"/>
      <w:bookmarkStart w:id="199" w:name="_Toc32232"/>
      <w:bookmarkStart w:id="200" w:name="_Toc28682"/>
      <w:r>
        <w:rPr>
          <w:rFonts w:hint="eastAsia" w:ascii="黑体" w:hAnsi="黑体" w:eastAsia="黑体" w:cs="Times New Roman"/>
          <w:bCs w:val="0"/>
          <w:kern w:val="0"/>
          <w:sz w:val="32"/>
          <w:szCs w:val="32"/>
          <w:lang w:val="en-US" w:eastAsia="zh-CN"/>
        </w:rPr>
        <w:t>3.3造林前林木采伐</w:t>
      </w:r>
      <w:bookmarkEnd w:id="197"/>
      <w:bookmarkEnd w:id="198"/>
      <w:bookmarkEnd w:id="199"/>
      <w:bookmarkEnd w:id="200"/>
    </w:p>
    <w:p w14:paraId="376C1963">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bookmarkStart w:id="201" w:name="_Toc22926"/>
      <w:bookmarkStart w:id="202" w:name="_Toc21405"/>
      <w:bookmarkStart w:id="203" w:name="_Toc6674"/>
      <w:bookmarkStart w:id="204" w:name="_Toc31323"/>
      <w:r>
        <w:rPr>
          <w:rFonts w:hint="eastAsia" w:ascii="Times New Roman" w:hAnsi="Times New Roman" w:eastAsia="仿宋_GB2312" w:cs="Times New Roman"/>
          <w:bCs/>
          <w:kern w:val="0"/>
          <w:sz w:val="28"/>
          <w:szCs w:val="28"/>
          <w:lang w:val="en-US" w:eastAsia="zh-CN"/>
        </w:rPr>
        <w:t>项目新造油茶面积774.9亩，涉及乔木林采伐面积774.9亩，立木蓄积约3054立方米，竹林面积12.3亩，株数2460百株。采伐作业设计单独成册报批。</w:t>
      </w:r>
      <w:bookmarkEnd w:id="201"/>
      <w:bookmarkEnd w:id="202"/>
      <w:bookmarkEnd w:id="203"/>
      <w:bookmarkEnd w:id="204"/>
    </w:p>
    <w:p w14:paraId="0793911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205" w:name="_Toc13718"/>
      <w:bookmarkStart w:id="206" w:name="_Toc25278"/>
      <w:bookmarkStart w:id="207" w:name="_Toc5369"/>
      <w:bookmarkStart w:id="208" w:name="_Toc13725"/>
      <w:r>
        <w:rPr>
          <w:rFonts w:hint="eastAsia" w:ascii="Times New Roman" w:hAnsi="Times New Roman" w:eastAsia="仿宋_GB2312" w:cs="Times New Roman"/>
          <w:bCs/>
          <w:kern w:val="0"/>
          <w:sz w:val="28"/>
          <w:szCs w:val="28"/>
          <w:lang w:val="en-US" w:eastAsia="zh-CN"/>
        </w:rPr>
        <w:t>高标准油茶新造前需要对现有地块林木进行采伐，按《浙江省林木采伐技术规程》相关要求开展伐区调查，形成采伐作业设计，报当地林业主管部门办理采伐许可证后，按设计要求开展采伐作业，伐区设计满足更新造林该林地需要进行的采伐设计和审批。拟采伐地块均为成过熟人工商品林，森林采伐类型属于主伐，采伐方式为皆伐，采伐强度100%。由于伐区靠近村庄，有村道或小路，交通良好，集材道将借用村道或林区小路，不作单独设计。伐区总体呈块状和线状结合，而采伐的林木多数都是胸径较小，运输方式采用机械集材或人力肩扛集材到村庄或路旁空旷处归楞，即楞场设在路边或村庄空旷处，按权属分散归楞。</w:t>
      </w:r>
      <w:bookmarkEnd w:id="205"/>
      <w:bookmarkEnd w:id="206"/>
      <w:bookmarkEnd w:id="207"/>
      <w:bookmarkEnd w:id="208"/>
    </w:p>
    <w:p w14:paraId="2D40122E">
      <w:pPr>
        <w:pageBreakBefore w:val="0"/>
        <w:widowControl w:val="0"/>
        <w:kinsoku/>
        <w:wordWrap/>
        <w:overflowPunct/>
        <w:topLinePunct w:val="0"/>
        <w:bidi w:val="0"/>
        <w:snapToGrid/>
        <w:spacing w:after="0" w:line="360" w:lineRule="auto"/>
        <w:ind w:firstLine="560" w:firstLineChars="200"/>
        <w:jc w:val="both"/>
        <w:outlineLvl w:val="9"/>
        <w:rPr>
          <w:rFonts w:hint="eastAsia" w:ascii="Times New Roman" w:hAnsi="Times New Roman" w:eastAsia="仿宋_GB2312" w:cs="Times New Roman"/>
          <w:bCs/>
          <w:kern w:val="0"/>
          <w:sz w:val="28"/>
          <w:szCs w:val="28"/>
          <w:lang w:val="en-US" w:eastAsia="zh-CN"/>
        </w:rPr>
      </w:pPr>
      <w:bookmarkStart w:id="209" w:name="_Toc12960"/>
      <w:bookmarkStart w:id="210" w:name="_Toc2918"/>
      <w:bookmarkStart w:id="211" w:name="_Toc2896"/>
      <w:bookmarkStart w:id="212" w:name="_Toc2324"/>
      <w:r>
        <w:rPr>
          <w:rFonts w:hint="eastAsia" w:ascii="Times New Roman" w:hAnsi="Times New Roman" w:eastAsia="仿宋_GB2312" w:cs="Times New Roman"/>
          <w:bCs/>
          <w:kern w:val="0"/>
          <w:sz w:val="28"/>
          <w:szCs w:val="28"/>
          <w:lang w:val="en-US" w:eastAsia="zh-CN"/>
        </w:rPr>
        <w:t>（1）伐区范围。在伐区外围用油漆标记或红绳围出采伐范围，在水源地等生态敏感区域设置缓冲区域，小型湿地、水库、湖泊周围的缓冲带宽度大于50m，一般河流外围按下表执行，缓冲区域缓冲区未经特许，不应采伐任何林木，除修建过水管道和桥涵等工程作业外，施工机器不应进入，不应向缓冲区倾倒采伐剩余物、其它杂物和垃圾。保留伐区范围内的边界树及陡坡的坡面植被。</w:t>
      </w:r>
      <w:bookmarkEnd w:id="209"/>
      <w:bookmarkEnd w:id="210"/>
      <w:bookmarkEnd w:id="211"/>
      <w:bookmarkEnd w:id="212"/>
    </w:p>
    <w:p w14:paraId="7BAEF77D">
      <w:pPr>
        <w:pageBreakBefore w:val="0"/>
        <w:widowControl w:val="0"/>
        <w:kinsoku/>
        <w:wordWrap/>
        <w:overflowPunct/>
        <w:topLinePunct w:val="0"/>
        <w:bidi w:val="0"/>
        <w:spacing w:after="0" w:line="240" w:lineRule="auto"/>
        <w:ind w:firstLine="0" w:firstLineChars="0"/>
        <w:jc w:val="center"/>
        <w:rPr>
          <w:rFonts w:hint="eastAsia" w:ascii="楷体" w:hAnsi="楷体" w:eastAsia="楷体" w:cs="楷体"/>
          <w:b/>
          <w:bCs/>
          <w:sz w:val="24"/>
          <w:szCs w:val="24"/>
        </w:rPr>
      </w:pPr>
      <w:r>
        <w:rPr>
          <w:rFonts w:hint="eastAsia" w:ascii="楷体" w:hAnsi="楷体" w:eastAsia="楷体" w:cs="楷体"/>
          <w:b/>
          <w:bCs/>
          <w:sz w:val="24"/>
          <w:szCs w:val="24"/>
        </w:rPr>
        <w:t>表3</w:t>
      </w:r>
      <w:r>
        <w:rPr>
          <w:rFonts w:hint="eastAsia" w:ascii="楷体" w:hAnsi="楷体" w:eastAsia="楷体" w:cs="楷体"/>
          <w:b/>
          <w:bCs/>
          <w:sz w:val="24"/>
          <w:szCs w:val="24"/>
          <w:lang w:eastAsia="zh-CN"/>
        </w:rPr>
        <w:t>-</w:t>
      </w:r>
      <w:r>
        <w:rPr>
          <w:rFonts w:hint="eastAsia" w:ascii="楷体" w:hAnsi="楷体" w:eastAsia="楷体" w:cs="楷体"/>
          <w:b/>
          <w:bCs/>
          <w:sz w:val="24"/>
          <w:szCs w:val="24"/>
          <w:lang w:val="en-US" w:eastAsia="zh-CN"/>
        </w:rPr>
        <w:t xml:space="preserve">3 </w:t>
      </w:r>
      <w:r>
        <w:rPr>
          <w:rFonts w:hint="eastAsia" w:ascii="楷体" w:hAnsi="楷体" w:eastAsia="楷体" w:cs="楷体"/>
          <w:b/>
          <w:bCs/>
          <w:sz w:val="24"/>
          <w:szCs w:val="24"/>
        </w:rPr>
        <w:t>不同溪流等级的缓冲区设置要求</w:t>
      </w:r>
    </w:p>
    <w:tbl>
      <w:tblPr>
        <w:tblStyle w:val="20"/>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03"/>
        <w:gridCol w:w="4817"/>
      </w:tblGrid>
      <w:tr w14:paraId="1AB45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2173" w:type="pct"/>
            <w:noWrap w:val="0"/>
            <w:vAlign w:val="top"/>
          </w:tcPr>
          <w:p w14:paraId="35DC547D">
            <w:pPr>
              <w:keepNext w:val="0"/>
              <w:keepLines w:val="0"/>
              <w:pageBreakBefore w:val="0"/>
              <w:widowControl w:val="0"/>
              <w:kinsoku/>
              <w:wordWrap/>
              <w:overflowPunct/>
              <w:topLinePunct w:val="0"/>
              <w:autoSpaceDE/>
              <w:autoSpaceDN/>
              <w:bidi w:val="0"/>
              <w:adjustRightInd/>
              <w:snapToGrid/>
              <w:spacing w:after="0" w:line="400" w:lineRule="exact"/>
              <w:ind w:firstLine="0" w:firstLineChars="0"/>
              <w:jc w:val="center"/>
              <w:textAlignment w:val="center"/>
              <w:rPr>
                <w:rFonts w:hint="eastAsia" w:ascii="楷体" w:hAnsi="楷体" w:eastAsia="楷体" w:cs="楷体"/>
                <w:b/>
                <w:bCs/>
                <w:color w:val="000000"/>
                <w:spacing w:val="-11"/>
                <w:w w:val="95"/>
                <w:sz w:val="24"/>
                <w:szCs w:val="24"/>
                <w:lang w:bidi="ar"/>
              </w:rPr>
            </w:pPr>
            <w:r>
              <w:rPr>
                <w:rFonts w:hint="eastAsia" w:ascii="楷体" w:hAnsi="楷体" w:eastAsia="楷体" w:cs="楷体"/>
                <w:b/>
                <w:bCs/>
                <w:color w:val="000000"/>
                <w:spacing w:val="-11"/>
                <w:w w:val="95"/>
                <w:sz w:val="24"/>
                <w:szCs w:val="24"/>
                <w:lang w:bidi="ar"/>
              </w:rPr>
              <w:t>溪流河床宽度（m）</w:t>
            </w:r>
          </w:p>
        </w:tc>
        <w:tc>
          <w:tcPr>
            <w:tcW w:w="2826" w:type="pct"/>
            <w:noWrap w:val="0"/>
            <w:vAlign w:val="top"/>
          </w:tcPr>
          <w:p w14:paraId="1EF97E17">
            <w:pPr>
              <w:keepNext w:val="0"/>
              <w:keepLines w:val="0"/>
              <w:pageBreakBefore w:val="0"/>
              <w:widowControl w:val="0"/>
              <w:kinsoku/>
              <w:wordWrap/>
              <w:overflowPunct/>
              <w:topLinePunct w:val="0"/>
              <w:autoSpaceDE/>
              <w:autoSpaceDN/>
              <w:bidi w:val="0"/>
              <w:adjustRightInd/>
              <w:snapToGrid/>
              <w:spacing w:after="0" w:line="400" w:lineRule="exact"/>
              <w:ind w:firstLine="0" w:firstLineChars="0"/>
              <w:jc w:val="center"/>
              <w:textAlignment w:val="center"/>
              <w:rPr>
                <w:rFonts w:hint="eastAsia" w:ascii="楷体" w:hAnsi="楷体" w:eastAsia="楷体" w:cs="楷体"/>
                <w:b/>
                <w:bCs/>
                <w:color w:val="000000"/>
                <w:spacing w:val="-11"/>
                <w:w w:val="95"/>
                <w:sz w:val="24"/>
                <w:szCs w:val="24"/>
                <w:lang w:bidi="ar"/>
              </w:rPr>
            </w:pPr>
            <w:r>
              <w:rPr>
                <w:rFonts w:hint="eastAsia" w:ascii="楷体" w:hAnsi="楷体" w:eastAsia="楷体" w:cs="楷体"/>
                <w:b/>
                <w:bCs/>
                <w:color w:val="000000"/>
                <w:spacing w:val="-11"/>
                <w:w w:val="95"/>
                <w:sz w:val="24"/>
                <w:szCs w:val="24"/>
                <w:lang w:bidi="ar"/>
              </w:rPr>
              <w:t>单侧缓冲带最小宽度（m）</w:t>
            </w:r>
          </w:p>
        </w:tc>
      </w:tr>
      <w:tr w14:paraId="1FCBC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73" w:type="pct"/>
            <w:noWrap w:val="0"/>
            <w:vAlign w:val="top"/>
          </w:tcPr>
          <w:p w14:paraId="5FEFF04D">
            <w:pPr>
              <w:keepNext w:val="0"/>
              <w:keepLines w:val="0"/>
              <w:pageBreakBefore w:val="0"/>
              <w:widowControl w:val="0"/>
              <w:kinsoku/>
              <w:wordWrap/>
              <w:overflowPunct/>
              <w:topLinePunct w:val="0"/>
              <w:autoSpaceDE/>
              <w:autoSpaceDN/>
              <w:bidi w:val="0"/>
              <w:adjustRightInd/>
              <w:snapToGrid/>
              <w:spacing w:after="0" w:line="400" w:lineRule="exact"/>
              <w:ind w:firstLine="0" w:firstLineChars="0"/>
              <w:jc w:val="center"/>
              <w:textAlignment w:val="center"/>
              <w:rPr>
                <w:rFonts w:hint="eastAsia" w:ascii="楷体" w:hAnsi="楷体" w:eastAsia="楷体" w:cs="楷体"/>
                <w:color w:val="000000"/>
                <w:spacing w:val="-11"/>
                <w:w w:val="95"/>
                <w:sz w:val="24"/>
                <w:szCs w:val="24"/>
                <w:lang w:bidi="ar"/>
              </w:rPr>
            </w:pPr>
            <w:r>
              <w:rPr>
                <w:rFonts w:hint="eastAsia" w:ascii="楷体" w:hAnsi="楷体" w:eastAsia="楷体" w:cs="楷体"/>
                <w:color w:val="000000"/>
                <w:spacing w:val="-11"/>
                <w:w w:val="95"/>
                <w:sz w:val="24"/>
                <w:szCs w:val="24"/>
                <w:lang w:val="en-US" w:eastAsia="zh-CN" w:bidi="ar"/>
              </w:rPr>
              <w:t>＞</w:t>
            </w:r>
            <w:r>
              <w:rPr>
                <w:rFonts w:hint="eastAsia" w:ascii="楷体" w:hAnsi="楷体" w:eastAsia="楷体" w:cs="楷体"/>
                <w:color w:val="000000"/>
                <w:spacing w:val="-11"/>
                <w:w w:val="95"/>
                <w:sz w:val="24"/>
                <w:szCs w:val="24"/>
                <w:lang w:bidi="ar"/>
              </w:rPr>
              <w:t>50</w:t>
            </w:r>
          </w:p>
        </w:tc>
        <w:tc>
          <w:tcPr>
            <w:tcW w:w="2826" w:type="pct"/>
            <w:noWrap w:val="0"/>
            <w:vAlign w:val="top"/>
          </w:tcPr>
          <w:p w14:paraId="1890C9D6">
            <w:pPr>
              <w:keepNext w:val="0"/>
              <w:keepLines w:val="0"/>
              <w:pageBreakBefore w:val="0"/>
              <w:widowControl w:val="0"/>
              <w:pBdr>
                <w:bottom w:val="none" w:color="auto" w:sz="0" w:space="0"/>
              </w:pBdr>
              <w:kinsoku/>
              <w:wordWrap/>
              <w:overflowPunct/>
              <w:topLinePunct w:val="0"/>
              <w:autoSpaceDE/>
              <w:autoSpaceDN/>
              <w:bidi w:val="0"/>
              <w:adjustRightInd/>
              <w:snapToGrid/>
              <w:spacing w:after="0" w:line="400" w:lineRule="exact"/>
              <w:ind w:firstLine="0" w:firstLineChars="0"/>
              <w:jc w:val="center"/>
              <w:textAlignment w:val="center"/>
              <w:rPr>
                <w:rFonts w:hint="eastAsia" w:ascii="楷体" w:hAnsi="楷体" w:eastAsia="楷体" w:cs="楷体"/>
                <w:color w:val="000000"/>
                <w:spacing w:val="-11"/>
                <w:w w:val="95"/>
                <w:sz w:val="24"/>
                <w:szCs w:val="24"/>
                <w:lang w:bidi="ar"/>
              </w:rPr>
            </w:pPr>
            <w:r>
              <w:rPr>
                <w:rFonts w:hint="eastAsia" w:ascii="楷体" w:hAnsi="楷体" w:eastAsia="楷体" w:cs="楷体"/>
                <w:color w:val="000000"/>
                <w:spacing w:val="-11"/>
                <w:w w:val="95"/>
                <w:sz w:val="24"/>
                <w:szCs w:val="24"/>
                <w:lang w:bidi="ar"/>
              </w:rPr>
              <w:t>30</w:t>
            </w:r>
          </w:p>
        </w:tc>
      </w:tr>
      <w:tr w14:paraId="499B9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73" w:type="pct"/>
            <w:noWrap w:val="0"/>
            <w:vAlign w:val="top"/>
          </w:tcPr>
          <w:p w14:paraId="2EBEFCE0">
            <w:pPr>
              <w:keepNext w:val="0"/>
              <w:keepLines w:val="0"/>
              <w:pageBreakBefore w:val="0"/>
              <w:widowControl w:val="0"/>
              <w:kinsoku/>
              <w:wordWrap/>
              <w:overflowPunct/>
              <w:topLinePunct w:val="0"/>
              <w:autoSpaceDE/>
              <w:autoSpaceDN/>
              <w:bidi w:val="0"/>
              <w:adjustRightInd/>
              <w:snapToGrid/>
              <w:spacing w:after="0" w:line="400" w:lineRule="exact"/>
              <w:ind w:firstLine="0" w:firstLineChars="0"/>
              <w:jc w:val="center"/>
              <w:textAlignment w:val="center"/>
              <w:rPr>
                <w:rFonts w:hint="eastAsia" w:ascii="楷体" w:hAnsi="楷体" w:eastAsia="楷体" w:cs="楷体"/>
                <w:color w:val="000000"/>
                <w:spacing w:val="-11"/>
                <w:w w:val="95"/>
                <w:sz w:val="24"/>
                <w:szCs w:val="24"/>
                <w:lang w:bidi="ar"/>
              </w:rPr>
            </w:pPr>
            <w:r>
              <w:rPr>
                <w:rFonts w:hint="eastAsia" w:ascii="楷体" w:hAnsi="楷体" w:eastAsia="楷体" w:cs="楷体"/>
                <w:color w:val="000000"/>
                <w:spacing w:val="-11"/>
                <w:w w:val="95"/>
                <w:sz w:val="24"/>
                <w:szCs w:val="24"/>
                <w:lang w:bidi="ar"/>
              </w:rPr>
              <w:t>20</w:t>
            </w:r>
            <w:r>
              <w:rPr>
                <w:rFonts w:hint="default" w:ascii="Times New Roman" w:hAnsi="Times New Roman" w:eastAsia="楷体" w:cs="Times New Roman"/>
                <w:color w:val="000000"/>
                <w:spacing w:val="-11"/>
                <w:w w:val="95"/>
                <w:sz w:val="24"/>
                <w:szCs w:val="24"/>
                <w:lang w:bidi="ar"/>
              </w:rPr>
              <w:t>~</w:t>
            </w:r>
            <w:r>
              <w:rPr>
                <w:rFonts w:hint="eastAsia" w:ascii="楷体" w:hAnsi="楷体" w:eastAsia="楷体" w:cs="楷体"/>
                <w:color w:val="000000"/>
                <w:spacing w:val="-11"/>
                <w:w w:val="95"/>
                <w:sz w:val="24"/>
                <w:szCs w:val="24"/>
                <w:lang w:bidi="ar"/>
              </w:rPr>
              <w:t>50</w:t>
            </w:r>
          </w:p>
        </w:tc>
        <w:tc>
          <w:tcPr>
            <w:tcW w:w="2826" w:type="pct"/>
            <w:noWrap w:val="0"/>
            <w:vAlign w:val="top"/>
          </w:tcPr>
          <w:p w14:paraId="2AFB787C">
            <w:pPr>
              <w:keepNext w:val="0"/>
              <w:keepLines w:val="0"/>
              <w:pageBreakBefore w:val="0"/>
              <w:widowControl w:val="0"/>
              <w:kinsoku/>
              <w:wordWrap/>
              <w:overflowPunct/>
              <w:topLinePunct w:val="0"/>
              <w:autoSpaceDE/>
              <w:autoSpaceDN/>
              <w:bidi w:val="0"/>
              <w:adjustRightInd/>
              <w:snapToGrid/>
              <w:spacing w:after="0" w:line="400" w:lineRule="exact"/>
              <w:ind w:firstLine="0" w:firstLineChars="0"/>
              <w:jc w:val="center"/>
              <w:textAlignment w:val="center"/>
              <w:rPr>
                <w:rFonts w:hint="eastAsia" w:ascii="楷体" w:hAnsi="楷体" w:eastAsia="楷体" w:cs="楷体"/>
                <w:color w:val="000000"/>
                <w:spacing w:val="-11"/>
                <w:w w:val="95"/>
                <w:sz w:val="24"/>
                <w:szCs w:val="24"/>
                <w:lang w:bidi="ar"/>
              </w:rPr>
            </w:pPr>
            <w:r>
              <w:rPr>
                <w:rFonts w:hint="eastAsia" w:ascii="楷体" w:hAnsi="楷体" w:eastAsia="楷体" w:cs="楷体"/>
                <w:color w:val="000000"/>
                <w:spacing w:val="-11"/>
                <w:w w:val="95"/>
                <w:sz w:val="24"/>
                <w:szCs w:val="24"/>
                <w:lang w:bidi="ar"/>
              </w:rPr>
              <w:t>20</w:t>
            </w:r>
          </w:p>
        </w:tc>
      </w:tr>
      <w:tr w14:paraId="5C424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173" w:type="pct"/>
            <w:noWrap w:val="0"/>
            <w:vAlign w:val="top"/>
          </w:tcPr>
          <w:p w14:paraId="418EB244">
            <w:pPr>
              <w:keepNext w:val="0"/>
              <w:keepLines w:val="0"/>
              <w:pageBreakBefore w:val="0"/>
              <w:widowControl w:val="0"/>
              <w:kinsoku/>
              <w:wordWrap/>
              <w:overflowPunct/>
              <w:topLinePunct w:val="0"/>
              <w:autoSpaceDE/>
              <w:autoSpaceDN/>
              <w:bidi w:val="0"/>
              <w:adjustRightInd/>
              <w:snapToGrid/>
              <w:spacing w:after="0" w:line="400" w:lineRule="exact"/>
              <w:ind w:firstLine="0" w:firstLineChars="0"/>
              <w:jc w:val="center"/>
              <w:textAlignment w:val="center"/>
              <w:rPr>
                <w:rFonts w:hint="eastAsia" w:ascii="楷体" w:hAnsi="楷体" w:eastAsia="楷体" w:cs="楷体"/>
                <w:color w:val="000000"/>
                <w:spacing w:val="-11"/>
                <w:w w:val="95"/>
                <w:sz w:val="24"/>
                <w:szCs w:val="24"/>
                <w:lang w:bidi="ar"/>
              </w:rPr>
            </w:pPr>
            <w:r>
              <w:rPr>
                <w:rFonts w:hint="eastAsia" w:ascii="楷体" w:hAnsi="楷体" w:eastAsia="楷体" w:cs="楷体"/>
                <w:color w:val="000000"/>
                <w:spacing w:val="-11"/>
                <w:w w:val="95"/>
                <w:sz w:val="24"/>
                <w:szCs w:val="24"/>
                <w:lang w:bidi="ar"/>
              </w:rPr>
              <w:t>10</w:t>
            </w:r>
            <w:r>
              <w:rPr>
                <w:rFonts w:hint="default" w:ascii="Times New Roman" w:hAnsi="Times New Roman" w:eastAsia="楷体" w:cs="Times New Roman"/>
                <w:color w:val="000000"/>
                <w:spacing w:val="-11"/>
                <w:w w:val="95"/>
                <w:sz w:val="24"/>
                <w:szCs w:val="24"/>
                <w:lang w:bidi="ar"/>
              </w:rPr>
              <w:t>~</w:t>
            </w:r>
            <w:r>
              <w:rPr>
                <w:rFonts w:hint="eastAsia" w:ascii="楷体" w:hAnsi="楷体" w:eastAsia="楷体" w:cs="楷体"/>
                <w:color w:val="000000"/>
                <w:spacing w:val="-11"/>
                <w:w w:val="95"/>
                <w:sz w:val="24"/>
                <w:szCs w:val="24"/>
                <w:lang w:bidi="ar"/>
              </w:rPr>
              <w:t>20</w:t>
            </w:r>
          </w:p>
        </w:tc>
        <w:tc>
          <w:tcPr>
            <w:tcW w:w="2826" w:type="pct"/>
            <w:noWrap w:val="0"/>
            <w:vAlign w:val="top"/>
          </w:tcPr>
          <w:p w14:paraId="799C871A">
            <w:pPr>
              <w:keepNext w:val="0"/>
              <w:keepLines w:val="0"/>
              <w:pageBreakBefore w:val="0"/>
              <w:widowControl w:val="0"/>
              <w:kinsoku/>
              <w:wordWrap/>
              <w:overflowPunct/>
              <w:topLinePunct w:val="0"/>
              <w:autoSpaceDE/>
              <w:autoSpaceDN/>
              <w:bidi w:val="0"/>
              <w:adjustRightInd/>
              <w:snapToGrid/>
              <w:spacing w:after="0" w:line="400" w:lineRule="exact"/>
              <w:ind w:firstLine="0" w:firstLineChars="0"/>
              <w:jc w:val="center"/>
              <w:textAlignment w:val="center"/>
              <w:rPr>
                <w:rFonts w:hint="eastAsia" w:ascii="楷体" w:hAnsi="楷体" w:eastAsia="楷体" w:cs="楷体"/>
                <w:color w:val="000000"/>
                <w:spacing w:val="-11"/>
                <w:w w:val="95"/>
                <w:sz w:val="24"/>
                <w:szCs w:val="24"/>
                <w:lang w:bidi="ar"/>
              </w:rPr>
            </w:pPr>
            <w:r>
              <w:rPr>
                <w:rFonts w:hint="eastAsia" w:ascii="楷体" w:hAnsi="楷体" w:eastAsia="楷体" w:cs="楷体"/>
                <w:color w:val="000000"/>
                <w:spacing w:val="-11"/>
                <w:w w:val="95"/>
                <w:sz w:val="24"/>
                <w:szCs w:val="24"/>
                <w:lang w:bidi="ar"/>
              </w:rPr>
              <w:t>15</w:t>
            </w:r>
          </w:p>
        </w:tc>
      </w:tr>
      <w:tr w14:paraId="2DF4A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73" w:type="pct"/>
            <w:noWrap w:val="0"/>
            <w:vAlign w:val="top"/>
          </w:tcPr>
          <w:p w14:paraId="1D103437">
            <w:pPr>
              <w:keepNext w:val="0"/>
              <w:keepLines w:val="0"/>
              <w:pageBreakBefore w:val="0"/>
              <w:widowControl w:val="0"/>
              <w:kinsoku/>
              <w:wordWrap/>
              <w:overflowPunct/>
              <w:topLinePunct w:val="0"/>
              <w:autoSpaceDE/>
              <w:autoSpaceDN/>
              <w:bidi w:val="0"/>
              <w:adjustRightInd/>
              <w:snapToGrid/>
              <w:spacing w:after="0" w:line="400" w:lineRule="exact"/>
              <w:ind w:firstLine="0" w:firstLineChars="0"/>
              <w:jc w:val="center"/>
              <w:textAlignment w:val="center"/>
              <w:rPr>
                <w:rFonts w:hint="eastAsia" w:ascii="楷体" w:hAnsi="楷体" w:eastAsia="楷体" w:cs="楷体"/>
                <w:color w:val="000000"/>
                <w:spacing w:val="-11"/>
                <w:w w:val="95"/>
                <w:sz w:val="24"/>
                <w:szCs w:val="24"/>
                <w:lang w:bidi="ar"/>
              </w:rPr>
            </w:pPr>
            <w:r>
              <w:rPr>
                <w:rFonts w:hint="eastAsia" w:ascii="楷体" w:hAnsi="楷体" w:eastAsia="楷体" w:cs="楷体"/>
                <w:color w:val="000000"/>
                <w:spacing w:val="-11"/>
                <w:w w:val="95"/>
                <w:sz w:val="24"/>
                <w:szCs w:val="24"/>
                <w:lang w:val="en-US" w:eastAsia="zh-CN" w:bidi="ar"/>
              </w:rPr>
              <w:t>＜</w:t>
            </w:r>
            <w:r>
              <w:rPr>
                <w:rFonts w:hint="eastAsia" w:ascii="楷体" w:hAnsi="楷体" w:eastAsia="楷体" w:cs="楷体"/>
                <w:color w:val="000000"/>
                <w:spacing w:val="-11"/>
                <w:w w:val="95"/>
                <w:sz w:val="24"/>
                <w:szCs w:val="24"/>
                <w:lang w:bidi="ar"/>
              </w:rPr>
              <w:t>10</w:t>
            </w:r>
          </w:p>
        </w:tc>
        <w:tc>
          <w:tcPr>
            <w:tcW w:w="2826" w:type="pct"/>
            <w:noWrap w:val="0"/>
            <w:vAlign w:val="top"/>
          </w:tcPr>
          <w:p w14:paraId="7CEDFA9A">
            <w:pPr>
              <w:keepNext w:val="0"/>
              <w:keepLines w:val="0"/>
              <w:pageBreakBefore w:val="0"/>
              <w:widowControl w:val="0"/>
              <w:kinsoku/>
              <w:wordWrap/>
              <w:overflowPunct/>
              <w:topLinePunct w:val="0"/>
              <w:autoSpaceDE/>
              <w:autoSpaceDN/>
              <w:bidi w:val="0"/>
              <w:adjustRightInd/>
              <w:snapToGrid/>
              <w:spacing w:after="0" w:line="400" w:lineRule="exact"/>
              <w:ind w:firstLine="0" w:firstLineChars="0"/>
              <w:jc w:val="center"/>
              <w:textAlignment w:val="center"/>
              <w:rPr>
                <w:rFonts w:hint="eastAsia" w:ascii="楷体" w:hAnsi="楷体" w:eastAsia="楷体" w:cs="楷体"/>
                <w:color w:val="000000"/>
                <w:spacing w:val="-11"/>
                <w:w w:val="95"/>
                <w:sz w:val="24"/>
                <w:szCs w:val="24"/>
                <w:lang w:bidi="ar"/>
              </w:rPr>
            </w:pPr>
            <w:r>
              <w:rPr>
                <w:rFonts w:hint="eastAsia" w:ascii="楷体" w:hAnsi="楷体" w:eastAsia="楷体" w:cs="楷体"/>
                <w:color w:val="000000"/>
                <w:spacing w:val="-11"/>
                <w:w w:val="95"/>
                <w:sz w:val="24"/>
                <w:szCs w:val="24"/>
                <w:lang w:bidi="ar"/>
              </w:rPr>
              <w:t>8</w:t>
            </w:r>
          </w:p>
        </w:tc>
      </w:tr>
    </w:tbl>
    <w:p w14:paraId="3159F99B">
      <w:pPr>
        <w:pageBreakBefore w:val="0"/>
        <w:widowControl w:val="0"/>
        <w:kinsoku/>
        <w:wordWrap/>
        <w:overflowPunct/>
        <w:topLinePunct w:val="0"/>
        <w:bidi w:val="0"/>
        <w:adjustRightInd/>
        <w:snapToGrid/>
        <w:spacing w:after="0" w:line="240" w:lineRule="auto"/>
        <w:ind w:firstLine="354" w:firstLineChars="200"/>
        <w:textAlignment w:val="center"/>
        <w:rPr>
          <w:rFonts w:hint="eastAsia" w:ascii="楷体" w:hAnsi="楷体" w:eastAsia="楷体" w:cs="楷体"/>
          <w:b w:val="0"/>
          <w:bCs w:val="0"/>
          <w:color w:val="000000"/>
          <w:spacing w:val="-11"/>
          <w:w w:val="95"/>
          <w:sz w:val="21"/>
          <w:szCs w:val="21"/>
          <w:lang w:bidi="ar"/>
        </w:rPr>
      </w:pPr>
      <w:r>
        <w:rPr>
          <w:rFonts w:hint="eastAsia" w:ascii="楷体" w:hAnsi="楷体" w:eastAsia="楷体" w:cs="楷体"/>
          <w:b w:val="0"/>
          <w:bCs w:val="0"/>
          <w:color w:val="000000"/>
          <w:spacing w:val="-11"/>
          <w:w w:val="95"/>
          <w:sz w:val="21"/>
          <w:szCs w:val="21"/>
          <w:lang w:bidi="ar"/>
        </w:rPr>
        <w:t>注：溪流河床宽度是指河两岸植被区之间的距离。</w:t>
      </w:r>
    </w:p>
    <w:p w14:paraId="58EAC91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highlight w:val="yellow"/>
          <w:lang w:val="en-US" w:eastAsia="zh-CN"/>
        </w:rPr>
      </w:pPr>
      <w:bookmarkStart w:id="213" w:name="_Toc29203"/>
      <w:bookmarkStart w:id="214" w:name="_Toc9075"/>
      <w:bookmarkStart w:id="215" w:name="_Toc22587"/>
      <w:bookmarkStart w:id="216" w:name="_Toc22804"/>
      <w:r>
        <w:rPr>
          <w:rFonts w:hint="eastAsia" w:ascii="Times New Roman" w:hAnsi="Times New Roman" w:eastAsia="仿宋_GB2312" w:cs="Times New Roman"/>
          <w:bCs/>
          <w:kern w:val="0"/>
          <w:sz w:val="28"/>
          <w:szCs w:val="28"/>
          <w:lang w:val="en-US" w:eastAsia="zh-CN"/>
        </w:rPr>
        <w:t>（2）</w:t>
      </w:r>
      <w:r>
        <w:rPr>
          <w:rFonts w:hint="eastAsia" w:ascii="Times New Roman" w:hAnsi="Times New Roman" w:eastAsia="仿宋_GB2312" w:cs="Times New Roman"/>
          <w:bCs/>
          <w:kern w:val="0"/>
          <w:sz w:val="28"/>
          <w:szCs w:val="28"/>
          <w:highlight w:val="none"/>
          <w:lang w:val="en-US" w:eastAsia="zh-CN"/>
        </w:rPr>
        <w:t>采伐要求。采伐时做到定向伐木，严防树木搭挂或砸伤损伤。伐桩高度不能大于10厘米。树木采伐后，严格按照有关规程的要求进行造材，凡直径5厘米以上的木材必须运出林区加以利用。凡利用采伐生产小径材的单位和个人必须办理相关手续后，方可运输利用，疫木采伐按相关规定执行。</w:t>
      </w:r>
      <w:bookmarkEnd w:id="213"/>
      <w:bookmarkEnd w:id="214"/>
      <w:bookmarkEnd w:id="215"/>
      <w:bookmarkEnd w:id="216"/>
    </w:p>
    <w:p w14:paraId="4154DAD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217" w:name="_Toc19300"/>
      <w:bookmarkStart w:id="218" w:name="_Toc23062"/>
      <w:bookmarkStart w:id="219" w:name="_Toc28896"/>
      <w:bookmarkStart w:id="220" w:name="_Toc9597"/>
      <w:r>
        <w:rPr>
          <w:rFonts w:hint="eastAsia" w:ascii="Times New Roman" w:hAnsi="Times New Roman" w:eastAsia="仿宋_GB2312" w:cs="Times New Roman"/>
          <w:bCs/>
          <w:kern w:val="0"/>
          <w:sz w:val="28"/>
          <w:szCs w:val="28"/>
          <w:lang w:val="en-US" w:eastAsia="zh-CN"/>
        </w:rPr>
        <w:t>（3）集材。集材要按照作业设计方案要求，因势集材，即通过林区内的自然壕沟和保留树木间距就势集材，在集材时注意不能损伤保留木和地表植被。</w:t>
      </w:r>
      <w:bookmarkEnd w:id="217"/>
      <w:bookmarkEnd w:id="218"/>
      <w:bookmarkEnd w:id="219"/>
      <w:bookmarkEnd w:id="220"/>
    </w:p>
    <w:p w14:paraId="679C797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221" w:name="_Toc15034"/>
      <w:bookmarkStart w:id="222" w:name="_Toc11382"/>
      <w:bookmarkStart w:id="223" w:name="_Toc1624"/>
      <w:bookmarkStart w:id="224" w:name="_Toc10123"/>
      <w:r>
        <w:rPr>
          <w:rFonts w:hint="eastAsia" w:ascii="Times New Roman" w:hAnsi="Times New Roman" w:eastAsia="仿宋_GB2312" w:cs="Times New Roman"/>
          <w:bCs/>
          <w:kern w:val="0"/>
          <w:sz w:val="28"/>
          <w:szCs w:val="28"/>
          <w:lang w:val="en-US" w:eastAsia="zh-CN"/>
        </w:rPr>
        <w:t>（4）采伐剩余物处理。大部分采伐剩余物平铺在林内，对于采伐的染病木等有害生物的林木、剩余物等，应按疫木处理相关规定，全部清理出林分，集中烧毁或深埋处理。</w:t>
      </w:r>
      <w:bookmarkEnd w:id="221"/>
      <w:bookmarkEnd w:id="222"/>
      <w:bookmarkEnd w:id="223"/>
      <w:bookmarkEnd w:id="224"/>
    </w:p>
    <w:p w14:paraId="00D9DA3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225" w:name="_Toc8279"/>
      <w:bookmarkStart w:id="226" w:name="_Toc29110"/>
      <w:bookmarkStart w:id="227" w:name="_Toc8103"/>
      <w:bookmarkStart w:id="228" w:name="_Toc1282"/>
      <w:r>
        <w:rPr>
          <w:rFonts w:hint="eastAsia" w:ascii="Times New Roman" w:hAnsi="Times New Roman" w:eastAsia="仿宋_GB2312" w:cs="Times New Roman"/>
          <w:bCs/>
          <w:kern w:val="0"/>
          <w:sz w:val="28"/>
          <w:szCs w:val="28"/>
          <w:lang w:val="en-US" w:eastAsia="zh-CN"/>
        </w:rPr>
        <w:t>（5）疫木处置。针对马尾松等疫木，严格执行疫木清理为核心的防控策略，按照“510清干净”技术标准开展疫情集中除治和“即死即清”，疫木拉到指定疫木处置地点进行集中处置，彻底清除疫源。</w:t>
      </w:r>
    </w:p>
    <w:p w14:paraId="017C31C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（6）生物多样性保护。要注意保留有鸟窝、蜂窝的树木，珍稀树木和更新幼树，以及有利于林分向演替方向发展的树种。主要道路和村庄人群集聚地周边，要保留5米林缘。</w:t>
      </w:r>
      <w:bookmarkEnd w:id="225"/>
      <w:bookmarkEnd w:id="226"/>
      <w:bookmarkEnd w:id="227"/>
      <w:bookmarkEnd w:id="228"/>
    </w:p>
    <w:p w14:paraId="13AA10F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229" w:name="_Toc18463"/>
      <w:bookmarkStart w:id="230" w:name="_Toc3399"/>
      <w:bookmarkStart w:id="231" w:name="_Toc27448"/>
      <w:bookmarkStart w:id="232" w:name="_Toc29965"/>
      <w:r>
        <w:rPr>
          <w:rFonts w:hint="eastAsia" w:ascii="Times New Roman" w:hAnsi="Times New Roman" w:eastAsia="仿宋_GB2312" w:cs="Times New Roman"/>
          <w:bCs/>
          <w:kern w:val="0"/>
          <w:sz w:val="28"/>
          <w:szCs w:val="28"/>
          <w:lang w:val="en-US" w:eastAsia="zh-CN"/>
        </w:rPr>
        <w:t>（7）伐区验收。伐后按照检查验收标准，进行伐区验收。</w:t>
      </w:r>
      <w:bookmarkEnd w:id="229"/>
      <w:bookmarkEnd w:id="230"/>
      <w:bookmarkEnd w:id="231"/>
      <w:bookmarkEnd w:id="232"/>
    </w:p>
    <w:p w14:paraId="389A4E3A">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default" w:ascii="黑体" w:hAnsi="黑体" w:eastAsia="黑体" w:cs="Times New Roman"/>
          <w:bCs w:val="0"/>
          <w:kern w:val="0"/>
          <w:sz w:val="32"/>
          <w:szCs w:val="32"/>
          <w:lang w:val="en-US" w:eastAsia="zh-CN"/>
        </w:rPr>
      </w:pPr>
      <w:bookmarkStart w:id="233" w:name="_Toc29642"/>
      <w:bookmarkStart w:id="234" w:name="_Toc22221"/>
      <w:bookmarkStart w:id="235" w:name="_Toc13943"/>
      <w:r>
        <w:rPr>
          <w:rFonts w:hint="eastAsia" w:ascii="黑体" w:hAnsi="黑体" w:eastAsia="黑体" w:cs="Times New Roman"/>
          <w:bCs w:val="0"/>
          <w:kern w:val="0"/>
          <w:sz w:val="32"/>
          <w:szCs w:val="32"/>
          <w:lang w:val="en-US" w:eastAsia="zh-CN"/>
        </w:rPr>
        <w:t>3.</w:t>
      </w:r>
      <w:r>
        <w:rPr>
          <w:rFonts w:hint="eastAsia" w:ascii="黑体" w:hAnsi="黑体" w:cs="Times New Roman"/>
          <w:bCs w:val="0"/>
          <w:kern w:val="0"/>
          <w:sz w:val="32"/>
          <w:szCs w:val="32"/>
          <w:lang w:val="en-US" w:eastAsia="zh-CN"/>
        </w:rPr>
        <w:t>4树种选择</w:t>
      </w:r>
      <w:bookmarkEnd w:id="233"/>
      <w:bookmarkEnd w:id="234"/>
      <w:bookmarkEnd w:id="235"/>
    </w:p>
    <w:p w14:paraId="786DB70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236" w:name="_Toc10433"/>
      <w:bookmarkStart w:id="237" w:name="_Toc27805"/>
      <w:bookmarkStart w:id="238" w:name="_Toc7538"/>
      <w:bookmarkStart w:id="239" w:name="_Toc15046"/>
      <w:r>
        <w:rPr>
          <w:rFonts w:hint="eastAsia" w:ascii="Times New Roman" w:hAnsi="Times New Roman" w:eastAsia="仿宋_GB2312" w:cs="Times New Roman"/>
          <w:bCs/>
          <w:kern w:val="0"/>
          <w:sz w:val="28"/>
          <w:szCs w:val="28"/>
          <w:lang w:val="en-US" w:eastAsia="zh-CN"/>
        </w:rPr>
        <w:t>根据《加快油茶产业发展三年行动方案（2023-2025年）》文件要求，选择国家林业和草原局2022发布的《全国油茶主推品种和推荐品种目录》中适宜常山县栽培的油茶主推品种和推荐品种，</w:t>
      </w:r>
      <w:bookmarkEnd w:id="236"/>
      <w:bookmarkStart w:id="240" w:name="_Toc22590"/>
      <w:r>
        <w:rPr>
          <w:rFonts w:hint="eastAsia" w:ascii="Times New Roman" w:hAnsi="Times New Roman" w:eastAsia="仿宋_GB2312" w:cs="Times New Roman"/>
          <w:bCs/>
          <w:kern w:val="0"/>
          <w:sz w:val="28"/>
          <w:szCs w:val="28"/>
          <w:lang w:val="en-US" w:eastAsia="zh-CN"/>
        </w:rPr>
        <w:t>本项目主栽品种选用长林53号、长林40号、长林4号。</w:t>
      </w:r>
      <w:bookmarkEnd w:id="237"/>
      <w:bookmarkEnd w:id="238"/>
      <w:bookmarkEnd w:id="239"/>
      <w:bookmarkEnd w:id="240"/>
    </w:p>
    <w:p w14:paraId="42827CBB">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default" w:ascii="黑体" w:hAnsi="黑体" w:eastAsia="黑体" w:cs="Times New Roman"/>
          <w:bCs w:val="0"/>
          <w:kern w:val="0"/>
          <w:szCs w:val="32"/>
          <w:lang w:val="en-US" w:eastAsia="zh-CN"/>
        </w:rPr>
      </w:pPr>
      <w:bookmarkStart w:id="241" w:name="_Toc76"/>
      <w:bookmarkStart w:id="242" w:name="_Toc4887"/>
      <w:bookmarkStart w:id="243" w:name="_Toc23210"/>
      <w:r>
        <w:rPr>
          <w:rFonts w:hint="eastAsia" w:ascii="黑体" w:hAnsi="黑体" w:eastAsia="黑体" w:cs="Times New Roman"/>
          <w:bCs w:val="0"/>
          <w:kern w:val="0"/>
          <w:szCs w:val="32"/>
          <w:lang w:val="en-US" w:eastAsia="zh-CN"/>
        </w:rPr>
        <w:t>3.</w:t>
      </w:r>
      <w:r>
        <w:rPr>
          <w:rFonts w:hint="eastAsia" w:ascii="黑体" w:hAnsi="黑体" w:cs="Times New Roman"/>
          <w:bCs w:val="0"/>
          <w:kern w:val="0"/>
          <w:szCs w:val="32"/>
          <w:lang w:val="en-US" w:eastAsia="zh-CN"/>
        </w:rPr>
        <w:t>5营造林模式设计</w:t>
      </w:r>
      <w:bookmarkEnd w:id="241"/>
      <w:bookmarkEnd w:id="242"/>
      <w:bookmarkEnd w:id="243"/>
    </w:p>
    <w:p w14:paraId="3FEF26F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244" w:name="_Toc16737"/>
      <w:bookmarkStart w:id="245" w:name="_Toc13478"/>
      <w:bookmarkStart w:id="246" w:name="_Toc27943"/>
      <w:bookmarkStart w:id="247" w:name="_Toc24772"/>
      <w:r>
        <w:rPr>
          <w:rFonts w:hint="eastAsia" w:ascii="Times New Roman" w:hAnsi="Times New Roman" w:eastAsia="仿宋_GB2312" w:cs="Times New Roman"/>
          <w:bCs/>
          <w:kern w:val="0"/>
          <w:sz w:val="28"/>
          <w:szCs w:val="28"/>
          <w:lang w:val="en-US" w:eastAsia="zh-CN"/>
        </w:rPr>
        <w:t>根据立地条件、营造林类型的不同，遵循高标准油茶相关技术指南，按照生态优先、适地适绿等原则，科学进行油茶品种、整地、栽植与混交方式等设计。</w:t>
      </w:r>
      <w:bookmarkEnd w:id="244"/>
      <w:bookmarkEnd w:id="245"/>
      <w:bookmarkEnd w:id="246"/>
      <w:bookmarkEnd w:id="247"/>
    </w:p>
    <w:p w14:paraId="1E7A72FD">
      <w:pPr>
        <w:pageBreakBefore w:val="0"/>
        <w:widowControl w:val="0"/>
        <w:kinsoku/>
        <w:wordWrap/>
        <w:overflowPunct/>
        <w:topLinePunct w:val="0"/>
        <w:bidi w:val="0"/>
        <w:snapToGrid/>
        <w:spacing w:after="0" w:line="360" w:lineRule="auto"/>
        <w:ind w:firstLine="562" w:firstLineChars="200"/>
        <w:jc w:val="both"/>
        <w:rPr>
          <w:rFonts w:hint="default"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（1）高标准油茶新造模式一</w:t>
      </w:r>
    </w:p>
    <w:p w14:paraId="3114AC1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248" w:name="_Toc15950"/>
      <w:bookmarkStart w:id="249" w:name="_Toc14862"/>
      <w:bookmarkStart w:id="250" w:name="_Toc22917"/>
      <w:bookmarkStart w:id="251" w:name="_Toc3129"/>
      <w:r>
        <w:rPr>
          <w:rFonts w:hint="eastAsia" w:ascii="Times New Roman" w:hAnsi="Times New Roman" w:eastAsia="仿宋_GB2312" w:cs="Times New Roman"/>
          <w:bCs/>
          <w:kern w:val="0"/>
          <w:sz w:val="28"/>
          <w:szCs w:val="28"/>
          <w:lang w:val="en-US" w:eastAsia="zh-CN"/>
        </w:rPr>
        <w:t>1）植苗造林初植密度56株/亩，株行距为3m×4m，带状整地。</w:t>
      </w:r>
      <w:bookmarkEnd w:id="248"/>
      <w:bookmarkEnd w:id="249"/>
      <w:bookmarkEnd w:id="250"/>
      <w:bookmarkEnd w:id="251"/>
    </w:p>
    <w:p w14:paraId="65ACD5F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252" w:name="_Toc9631"/>
      <w:bookmarkStart w:id="253" w:name="_Toc22369"/>
      <w:bookmarkStart w:id="254" w:name="_Toc3761"/>
      <w:bookmarkStart w:id="255" w:name="_Toc25201"/>
      <w:r>
        <w:rPr>
          <w:rFonts w:hint="eastAsia" w:ascii="Times New Roman" w:hAnsi="Times New Roman" w:eastAsia="仿宋_GB2312" w:cs="Times New Roman"/>
          <w:bCs/>
          <w:kern w:val="0"/>
          <w:sz w:val="28"/>
          <w:szCs w:val="28"/>
          <w:lang w:val="en-US" w:eastAsia="zh-CN"/>
        </w:rPr>
        <w:t>2）植苗造林树种为良种油茶，使用适合本地推广的良种，原则上应选取3个及以上、花期相对一致、亲和力高的品种，本项目栽植品种选用长林53号、长林40号、长林4号。</w:t>
      </w:r>
      <w:bookmarkEnd w:id="252"/>
      <w:bookmarkEnd w:id="253"/>
      <w:bookmarkEnd w:id="254"/>
      <w:bookmarkEnd w:id="255"/>
    </w:p>
    <w:p w14:paraId="13BC610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256" w:name="_Toc23927"/>
      <w:bookmarkStart w:id="257" w:name="_Toc5454"/>
      <w:bookmarkStart w:id="258" w:name="_Toc21770"/>
      <w:bookmarkStart w:id="259" w:name="_Toc23283"/>
      <w:r>
        <w:rPr>
          <w:rFonts w:hint="eastAsia" w:ascii="Times New Roman" w:hAnsi="Times New Roman" w:eastAsia="仿宋_GB2312" w:cs="Times New Roman"/>
          <w:bCs/>
          <w:kern w:val="0"/>
          <w:sz w:val="28"/>
          <w:szCs w:val="28"/>
          <w:lang w:val="en-US" w:eastAsia="zh-CN"/>
        </w:rPr>
        <w:t>3）原则上应选取3个及以上、花期相对一致、亲和力高的品种，本项目配置方案为主栽品种选用长林53号，配置品种长林40号、长林4号等，沿等高线方向带状配置。</w:t>
      </w:r>
      <w:bookmarkEnd w:id="256"/>
      <w:bookmarkEnd w:id="257"/>
      <w:bookmarkEnd w:id="258"/>
      <w:bookmarkEnd w:id="259"/>
    </w:p>
    <w:p w14:paraId="1AD42EF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260" w:name="_Toc10023"/>
      <w:bookmarkStart w:id="261" w:name="_Toc12547"/>
      <w:bookmarkStart w:id="262" w:name="_Toc32310"/>
      <w:bookmarkStart w:id="263" w:name="_Toc32670"/>
      <w:r>
        <w:rPr>
          <w:rFonts w:hint="eastAsia" w:ascii="Times New Roman" w:hAnsi="Times New Roman" w:eastAsia="仿宋_GB2312" w:cs="Times New Roman"/>
          <w:bCs/>
          <w:kern w:val="0"/>
          <w:sz w:val="28"/>
          <w:szCs w:val="28"/>
          <w:lang w:val="en-US" w:eastAsia="zh-CN"/>
        </w:rPr>
        <w:t>4）长林53号、长林40号、长林4号混交比例为2:1:1，带状混交。</w:t>
      </w:r>
      <w:bookmarkEnd w:id="260"/>
      <w:bookmarkEnd w:id="261"/>
      <w:bookmarkEnd w:id="262"/>
      <w:bookmarkEnd w:id="263"/>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08" w:type="dxa"/>
          <w:bottom w:w="15" w:type="dxa"/>
          <w:right w:w="108" w:type="dxa"/>
        </w:tblCellMar>
      </w:tblPr>
      <w:tblGrid>
        <w:gridCol w:w="1245"/>
        <w:gridCol w:w="2209"/>
        <w:gridCol w:w="740"/>
        <w:gridCol w:w="2076"/>
        <w:gridCol w:w="1270"/>
        <w:gridCol w:w="982"/>
      </w:tblGrid>
      <w:tr w14:paraId="108E7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479" w:hRule="atLeast"/>
          <w:tblHeader/>
          <w:jc w:val="center"/>
        </w:trPr>
        <w:tc>
          <w:tcPr>
            <w:tcW w:w="5000" w:type="pct"/>
            <w:gridSpan w:val="6"/>
            <w:tcBorders>
              <w:top w:val="nil"/>
              <w:left w:val="nil"/>
              <w:bottom w:val="single" w:color="auto" w:sz="4" w:space="0"/>
              <w:right w:val="nil"/>
            </w:tcBorders>
            <w:vAlign w:val="center"/>
          </w:tcPr>
          <w:p w14:paraId="4CCE51FF">
            <w:pPr>
              <w:pStyle w:val="16"/>
              <w:keepNext w:val="0"/>
              <w:keepLines w:val="0"/>
              <w:pageBreakBefore w:val="0"/>
              <w:widowControl w:val="0"/>
              <w:shd w:val="clear" w:color="auto" w:fill="FFFFFF"/>
              <w:kinsoku/>
              <w:wordWrap/>
              <w:overflowPunct/>
              <w:topLinePunct w:val="0"/>
              <w:autoSpaceDE/>
              <w:autoSpaceDN/>
              <w:bidi w:val="0"/>
              <w:adjustRightInd/>
              <w:snapToGrid/>
              <w:spacing w:before="0" w:beforeAutospacing="0" w:after="0" w:afterAutospacing="0" w:line="240" w:lineRule="auto"/>
              <w:ind w:firstLine="0" w:firstLineChars="0"/>
              <w:jc w:val="center"/>
              <w:textAlignment w:val="baseline"/>
              <w:rPr>
                <w:rFonts w:hint="eastAsia" w:ascii="楷体" w:hAnsi="楷体" w:eastAsia="楷体" w:cs="楷体"/>
                <w:sz w:val="24"/>
                <w:szCs w:val="24"/>
              </w:rPr>
            </w:pPr>
            <w:r>
              <w:rPr>
                <w:rFonts w:hint="eastAsia" w:ascii="楷体" w:hAnsi="楷体" w:eastAsia="楷体" w:cs="楷体"/>
                <w:b/>
                <w:bCs/>
                <w:sz w:val="24"/>
                <w:szCs w:val="24"/>
              </w:rPr>
              <w:t>模式一</w:t>
            </w:r>
            <w:r>
              <w:rPr>
                <w:rFonts w:hint="eastAsia" w:ascii="楷体" w:hAnsi="楷体" w:eastAsia="楷体" w:cs="楷体"/>
                <w:b/>
                <w:bCs/>
                <w:sz w:val="24"/>
                <w:szCs w:val="24"/>
                <w:lang w:val="en-US" w:eastAsia="zh-CN"/>
              </w:rPr>
              <w:t xml:space="preserve"> </w:t>
            </w:r>
            <w:r>
              <w:rPr>
                <w:rFonts w:hint="eastAsia" w:ascii="楷体" w:hAnsi="楷体" w:eastAsia="楷体" w:cs="楷体"/>
                <w:b/>
                <w:bCs/>
                <w:sz w:val="24"/>
                <w:szCs w:val="24"/>
              </w:rPr>
              <w:t>高标准油茶新造模式</w:t>
            </w:r>
          </w:p>
        </w:tc>
      </w:tr>
      <w:tr w14:paraId="42DC2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3" w:hRule="atLeast"/>
          <w:jc w:val="center"/>
        </w:trPr>
        <w:tc>
          <w:tcPr>
            <w:tcW w:w="5000" w:type="pct"/>
            <w:gridSpan w:val="6"/>
            <w:tcBorders>
              <w:top w:val="single" w:color="auto" w:sz="4" w:space="0"/>
            </w:tcBorders>
            <w:vAlign w:val="center"/>
          </w:tcPr>
          <w:p w14:paraId="7D379A55">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种苗计划</w:t>
            </w:r>
          </w:p>
        </w:tc>
      </w:tr>
      <w:tr w14:paraId="5110F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505" w:hRule="atLeast"/>
          <w:jc w:val="center"/>
        </w:trPr>
        <w:tc>
          <w:tcPr>
            <w:tcW w:w="731" w:type="pct"/>
            <w:vAlign w:val="center"/>
          </w:tcPr>
          <w:p w14:paraId="20187446">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造林方式</w:t>
            </w:r>
          </w:p>
        </w:tc>
        <w:tc>
          <w:tcPr>
            <w:tcW w:w="1296" w:type="pct"/>
            <w:vAlign w:val="center"/>
          </w:tcPr>
          <w:p w14:paraId="6B586FCE">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树种</w:t>
            </w:r>
          </w:p>
        </w:tc>
        <w:tc>
          <w:tcPr>
            <w:tcW w:w="434" w:type="pct"/>
            <w:vAlign w:val="center"/>
          </w:tcPr>
          <w:p w14:paraId="65E5B3F2">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混交</w:t>
            </w:r>
          </w:p>
          <w:p w14:paraId="4C83DABA">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比例</w:t>
            </w:r>
          </w:p>
        </w:tc>
        <w:tc>
          <w:tcPr>
            <w:tcW w:w="1218" w:type="pct"/>
            <w:vAlign w:val="center"/>
          </w:tcPr>
          <w:p w14:paraId="5A9E5094">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种苗规格</w:t>
            </w:r>
          </w:p>
        </w:tc>
        <w:tc>
          <w:tcPr>
            <w:tcW w:w="745" w:type="pct"/>
            <w:vAlign w:val="center"/>
          </w:tcPr>
          <w:p w14:paraId="36E79311">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lang w:eastAsia="zh-CN"/>
              </w:rPr>
            </w:pPr>
            <w:r>
              <w:rPr>
                <w:rFonts w:hint="eastAsia" w:ascii="楷体" w:hAnsi="楷体" w:eastAsia="楷体" w:cs="楷体"/>
                <w:kern w:val="0"/>
                <w:sz w:val="24"/>
                <w:szCs w:val="24"/>
              </w:rPr>
              <w:t>初植密度</w:t>
            </w:r>
          </w:p>
          <w:p w14:paraId="6A7AD144">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（株/亩）</w:t>
            </w:r>
          </w:p>
        </w:tc>
        <w:tc>
          <w:tcPr>
            <w:tcW w:w="574" w:type="pct"/>
            <w:vAlign w:val="center"/>
          </w:tcPr>
          <w:p w14:paraId="64E1E11A">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lang w:eastAsia="zh-CN"/>
              </w:rPr>
            </w:pPr>
            <w:r>
              <w:rPr>
                <w:rFonts w:hint="eastAsia" w:ascii="楷体" w:hAnsi="楷体" w:eastAsia="楷体" w:cs="楷体"/>
                <w:kern w:val="0"/>
                <w:sz w:val="24"/>
                <w:szCs w:val="24"/>
              </w:rPr>
              <w:t>株行距</w:t>
            </w:r>
          </w:p>
          <w:p w14:paraId="3ACB67B4">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（m）</w:t>
            </w:r>
          </w:p>
        </w:tc>
      </w:tr>
      <w:tr w14:paraId="02AA2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312" w:hRule="atLeast"/>
          <w:jc w:val="center"/>
        </w:trPr>
        <w:tc>
          <w:tcPr>
            <w:tcW w:w="731" w:type="pct"/>
            <w:vMerge w:val="restart"/>
            <w:vAlign w:val="center"/>
          </w:tcPr>
          <w:p w14:paraId="0B67A54C">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植苗</w:t>
            </w:r>
          </w:p>
        </w:tc>
        <w:tc>
          <w:tcPr>
            <w:tcW w:w="1296" w:type="pct"/>
            <w:vAlign w:val="center"/>
          </w:tcPr>
          <w:p w14:paraId="2D07B916">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长林53号</w:t>
            </w:r>
          </w:p>
        </w:tc>
        <w:tc>
          <w:tcPr>
            <w:tcW w:w="434" w:type="pct"/>
            <w:vAlign w:val="center"/>
          </w:tcPr>
          <w:p w14:paraId="31F0E804">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lang w:val="en-US" w:eastAsia="zh-CN"/>
              </w:rPr>
            </w:pPr>
            <w:r>
              <w:rPr>
                <w:rFonts w:hint="eastAsia" w:ascii="楷体" w:hAnsi="楷体" w:eastAsia="楷体" w:cs="楷体"/>
                <w:kern w:val="0"/>
                <w:sz w:val="24"/>
                <w:szCs w:val="24"/>
                <w:lang w:val="en-US" w:eastAsia="zh-CN"/>
              </w:rPr>
              <w:t>2</w:t>
            </w:r>
          </w:p>
        </w:tc>
        <w:tc>
          <w:tcPr>
            <w:tcW w:w="1218" w:type="pct"/>
            <w:vMerge w:val="restart"/>
            <w:vAlign w:val="center"/>
          </w:tcPr>
          <w:p w14:paraId="472C3C31">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default" w:ascii="楷体" w:hAnsi="楷体" w:eastAsia="楷体" w:cs="楷体"/>
                <w:kern w:val="0"/>
                <w:sz w:val="24"/>
                <w:szCs w:val="24"/>
                <w:lang w:val="en-US" w:eastAsia="zh-CN"/>
              </w:rPr>
            </w:pPr>
            <w:r>
              <w:rPr>
                <w:rFonts w:hint="eastAsia" w:ascii="楷体" w:hAnsi="楷体" w:eastAsia="楷体" w:cs="楷体"/>
                <w:kern w:val="0"/>
                <w:sz w:val="24"/>
                <w:szCs w:val="24"/>
                <w:lang w:val="en-US" w:eastAsia="zh-CN"/>
              </w:rPr>
              <w:t>2年生容器苗，苗高40cm以上</w:t>
            </w:r>
          </w:p>
        </w:tc>
        <w:tc>
          <w:tcPr>
            <w:tcW w:w="745" w:type="pct"/>
            <w:vAlign w:val="center"/>
          </w:tcPr>
          <w:p w14:paraId="204B890F">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default" w:ascii="楷体" w:hAnsi="楷体" w:eastAsia="楷体" w:cs="楷体"/>
                <w:kern w:val="0"/>
                <w:sz w:val="24"/>
                <w:szCs w:val="24"/>
                <w:lang w:val="en-US" w:eastAsia="zh-CN"/>
              </w:rPr>
            </w:pPr>
            <w:r>
              <w:rPr>
                <w:rFonts w:hint="eastAsia" w:ascii="楷体" w:hAnsi="楷体" w:eastAsia="楷体" w:cs="楷体"/>
                <w:kern w:val="0"/>
                <w:sz w:val="24"/>
                <w:szCs w:val="24"/>
                <w:lang w:val="en-US" w:eastAsia="zh-CN"/>
              </w:rPr>
              <w:t>28</w:t>
            </w:r>
          </w:p>
        </w:tc>
        <w:tc>
          <w:tcPr>
            <w:tcW w:w="574" w:type="pct"/>
            <w:vMerge w:val="restart"/>
            <w:vAlign w:val="center"/>
          </w:tcPr>
          <w:p w14:paraId="4CBA429D">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lang w:val="en-US" w:eastAsia="zh-CN"/>
              </w:rPr>
              <w:t>3×4</w:t>
            </w:r>
          </w:p>
        </w:tc>
      </w:tr>
      <w:tr w14:paraId="640AD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312" w:hRule="atLeast"/>
          <w:jc w:val="center"/>
        </w:trPr>
        <w:tc>
          <w:tcPr>
            <w:tcW w:w="731" w:type="pct"/>
            <w:vMerge w:val="continue"/>
            <w:vAlign w:val="center"/>
          </w:tcPr>
          <w:p w14:paraId="063C85EB">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p>
        </w:tc>
        <w:tc>
          <w:tcPr>
            <w:tcW w:w="1296" w:type="pct"/>
            <w:vAlign w:val="center"/>
          </w:tcPr>
          <w:p w14:paraId="28985239">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default" w:ascii="楷体" w:hAnsi="楷体" w:eastAsia="楷体" w:cs="楷体"/>
                <w:kern w:val="0"/>
                <w:sz w:val="24"/>
                <w:szCs w:val="24"/>
                <w:lang w:val="en-US" w:eastAsia="zh-CN"/>
              </w:rPr>
            </w:pPr>
            <w:r>
              <w:rPr>
                <w:rFonts w:hint="eastAsia" w:ascii="楷体" w:hAnsi="楷体" w:eastAsia="楷体" w:cs="楷体"/>
                <w:kern w:val="0"/>
                <w:sz w:val="24"/>
                <w:szCs w:val="24"/>
              </w:rPr>
              <w:t>长林40号</w:t>
            </w:r>
          </w:p>
        </w:tc>
        <w:tc>
          <w:tcPr>
            <w:tcW w:w="434" w:type="pct"/>
            <w:vAlign w:val="center"/>
          </w:tcPr>
          <w:p w14:paraId="2F00B19C">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lang w:val="en-US" w:eastAsia="zh-CN"/>
              </w:rPr>
            </w:pPr>
            <w:r>
              <w:rPr>
                <w:rFonts w:hint="eastAsia" w:ascii="楷体" w:hAnsi="楷体" w:eastAsia="楷体" w:cs="楷体"/>
                <w:kern w:val="0"/>
                <w:sz w:val="24"/>
                <w:szCs w:val="24"/>
                <w:lang w:val="en-US" w:eastAsia="zh-CN"/>
              </w:rPr>
              <w:t>1</w:t>
            </w:r>
          </w:p>
        </w:tc>
        <w:tc>
          <w:tcPr>
            <w:tcW w:w="1218" w:type="pct"/>
            <w:vMerge w:val="continue"/>
            <w:vAlign w:val="center"/>
          </w:tcPr>
          <w:p w14:paraId="095F2BD5">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rPr>
                <w:rFonts w:hint="eastAsia" w:ascii="楷体" w:hAnsi="楷体" w:eastAsia="楷体" w:cs="楷体"/>
                <w:kern w:val="0"/>
                <w:sz w:val="24"/>
                <w:szCs w:val="24"/>
              </w:rPr>
            </w:pPr>
          </w:p>
        </w:tc>
        <w:tc>
          <w:tcPr>
            <w:tcW w:w="745" w:type="pct"/>
            <w:vAlign w:val="center"/>
          </w:tcPr>
          <w:p w14:paraId="1B319B50">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default" w:ascii="楷体" w:hAnsi="楷体" w:eastAsia="楷体" w:cs="楷体"/>
                <w:kern w:val="0"/>
                <w:sz w:val="24"/>
                <w:szCs w:val="24"/>
                <w:lang w:val="en-US" w:eastAsia="zh-CN"/>
              </w:rPr>
            </w:pPr>
            <w:r>
              <w:rPr>
                <w:rFonts w:hint="eastAsia" w:ascii="楷体" w:hAnsi="楷体" w:eastAsia="楷体" w:cs="楷体"/>
                <w:kern w:val="0"/>
                <w:sz w:val="24"/>
                <w:szCs w:val="24"/>
                <w:lang w:val="en-US" w:eastAsia="zh-CN"/>
              </w:rPr>
              <w:t>14</w:t>
            </w:r>
          </w:p>
        </w:tc>
        <w:tc>
          <w:tcPr>
            <w:tcW w:w="574" w:type="pct"/>
            <w:vMerge w:val="continue"/>
            <w:vAlign w:val="center"/>
          </w:tcPr>
          <w:p w14:paraId="697BE09C">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p>
        </w:tc>
      </w:tr>
      <w:tr w14:paraId="61229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312" w:hRule="atLeast"/>
          <w:jc w:val="center"/>
        </w:trPr>
        <w:tc>
          <w:tcPr>
            <w:tcW w:w="731" w:type="pct"/>
            <w:vMerge w:val="continue"/>
            <w:vAlign w:val="center"/>
          </w:tcPr>
          <w:p w14:paraId="4A02231C">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p>
        </w:tc>
        <w:tc>
          <w:tcPr>
            <w:tcW w:w="1296" w:type="pct"/>
            <w:vAlign w:val="center"/>
          </w:tcPr>
          <w:p w14:paraId="42731D5C">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长林4号</w:t>
            </w:r>
          </w:p>
        </w:tc>
        <w:tc>
          <w:tcPr>
            <w:tcW w:w="434" w:type="pct"/>
            <w:vAlign w:val="center"/>
          </w:tcPr>
          <w:p w14:paraId="5C840138">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default" w:ascii="楷体" w:hAnsi="楷体" w:eastAsia="楷体" w:cs="楷体"/>
                <w:kern w:val="0"/>
                <w:sz w:val="24"/>
                <w:szCs w:val="24"/>
                <w:lang w:val="en-US" w:eastAsia="zh-CN"/>
              </w:rPr>
            </w:pPr>
            <w:r>
              <w:rPr>
                <w:rFonts w:hint="eastAsia" w:ascii="楷体" w:hAnsi="楷体" w:eastAsia="楷体" w:cs="楷体"/>
                <w:kern w:val="0"/>
                <w:sz w:val="24"/>
                <w:szCs w:val="24"/>
                <w:lang w:val="en-US" w:eastAsia="zh-CN"/>
              </w:rPr>
              <w:t>1</w:t>
            </w:r>
          </w:p>
        </w:tc>
        <w:tc>
          <w:tcPr>
            <w:tcW w:w="1218" w:type="pct"/>
            <w:vMerge w:val="continue"/>
            <w:vAlign w:val="center"/>
          </w:tcPr>
          <w:p w14:paraId="49516880">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rPr>
                <w:rFonts w:hint="eastAsia" w:ascii="楷体" w:hAnsi="楷体" w:eastAsia="楷体" w:cs="楷体"/>
                <w:kern w:val="0"/>
                <w:sz w:val="24"/>
                <w:szCs w:val="24"/>
              </w:rPr>
            </w:pPr>
          </w:p>
        </w:tc>
        <w:tc>
          <w:tcPr>
            <w:tcW w:w="745" w:type="pct"/>
            <w:vAlign w:val="center"/>
          </w:tcPr>
          <w:p w14:paraId="232E4650">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default" w:ascii="楷体" w:hAnsi="楷体" w:eastAsia="楷体" w:cs="楷体"/>
                <w:kern w:val="0"/>
                <w:sz w:val="24"/>
                <w:szCs w:val="24"/>
                <w:lang w:val="en-US" w:eastAsia="zh-CN"/>
              </w:rPr>
            </w:pPr>
            <w:r>
              <w:rPr>
                <w:rFonts w:hint="eastAsia" w:ascii="楷体" w:hAnsi="楷体" w:eastAsia="楷体" w:cs="楷体"/>
                <w:kern w:val="0"/>
                <w:sz w:val="24"/>
                <w:szCs w:val="24"/>
                <w:lang w:val="en-US" w:eastAsia="zh-CN"/>
              </w:rPr>
              <w:t>14</w:t>
            </w:r>
          </w:p>
        </w:tc>
        <w:tc>
          <w:tcPr>
            <w:tcW w:w="574" w:type="pct"/>
            <w:vMerge w:val="continue"/>
            <w:vAlign w:val="center"/>
          </w:tcPr>
          <w:p w14:paraId="660DA882">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p>
        </w:tc>
      </w:tr>
      <w:tr w14:paraId="6887B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312" w:hRule="atLeast"/>
          <w:jc w:val="center"/>
        </w:trPr>
        <w:tc>
          <w:tcPr>
            <w:tcW w:w="5000" w:type="pct"/>
            <w:gridSpan w:val="6"/>
            <w:vAlign w:val="center"/>
          </w:tcPr>
          <w:p w14:paraId="131E9EEB">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技术措施</w:t>
            </w:r>
          </w:p>
        </w:tc>
      </w:tr>
      <w:tr w14:paraId="05560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312" w:hRule="atLeast"/>
          <w:jc w:val="center"/>
        </w:trPr>
        <w:tc>
          <w:tcPr>
            <w:tcW w:w="731" w:type="pct"/>
            <w:vAlign w:val="center"/>
          </w:tcPr>
          <w:p w14:paraId="0B19EFB2">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default" w:ascii="楷体" w:hAnsi="楷体" w:eastAsia="楷体" w:cs="楷体"/>
                <w:kern w:val="0"/>
                <w:sz w:val="24"/>
                <w:szCs w:val="24"/>
                <w:lang w:val="en-US" w:eastAsia="zh-CN"/>
              </w:rPr>
            </w:pPr>
            <w:r>
              <w:rPr>
                <w:rFonts w:hint="eastAsia" w:ascii="楷体" w:hAnsi="楷体" w:eastAsia="楷体" w:cs="楷体"/>
                <w:kern w:val="0"/>
                <w:sz w:val="24"/>
                <w:szCs w:val="24"/>
                <w:lang w:val="en-US" w:eastAsia="zh-CN"/>
              </w:rPr>
              <w:t>林地清理</w:t>
            </w:r>
          </w:p>
        </w:tc>
        <w:tc>
          <w:tcPr>
            <w:tcW w:w="4268" w:type="pct"/>
            <w:gridSpan w:val="5"/>
            <w:vAlign w:val="center"/>
          </w:tcPr>
          <w:p w14:paraId="26724C48">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left"/>
              <w:rPr>
                <w:rFonts w:hint="default" w:ascii="楷体" w:hAnsi="楷体" w:eastAsia="楷体" w:cs="楷体"/>
                <w:spacing w:val="-4"/>
                <w:kern w:val="0"/>
                <w:sz w:val="24"/>
                <w:szCs w:val="24"/>
                <w:lang w:val="en-US" w:eastAsia="zh-CN"/>
              </w:rPr>
            </w:pPr>
            <w:r>
              <w:rPr>
                <w:rFonts w:hint="eastAsia" w:ascii="楷体" w:hAnsi="楷体" w:eastAsia="楷体" w:cs="楷体"/>
                <w:spacing w:val="-4"/>
                <w:kern w:val="0"/>
                <w:sz w:val="24"/>
                <w:szCs w:val="24"/>
                <w:lang w:val="en-US" w:eastAsia="zh-CN"/>
              </w:rPr>
              <w:t>采伐后全林地清理，劈、割劈除非目的乔木、杂灌、草本、藤本。</w:t>
            </w:r>
          </w:p>
        </w:tc>
      </w:tr>
      <w:tr w14:paraId="78845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312" w:hRule="atLeast"/>
          <w:jc w:val="center"/>
        </w:trPr>
        <w:tc>
          <w:tcPr>
            <w:tcW w:w="731" w:type="pct"/>
            <w:vAlign w:val="center"/>
          </w:tcPr>
          <w:p w14:paraId="2690D309">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整地</w:t>
            </w:r>
            <w:r>
              <w:rPr>
                <w:rFonts w:hint="eastAsia" w:ascii="楷体" w:hAnsi="楷体" w:eastAsia="楷体" w:cs="楷体"/>
                <w:kern w:val="0"/>
                <w:sz w:val="24"/>
                <w:szCs w:val="24"/>
                <w:lang w:val="en-US" w:eastAsia="zh-CN"/>
              </w:rPr>
              <w:t>及挖穴</w:t>
            </w:r>
          </w:p>
        </w:tc>
        <w:tc>
          <w:tcPr>
            <w:tcW w:w="4268" w:type="pct"/>
            <w:gridSpan w:val="5"/>
            <w:vAlign w:val="center"/>
          </w:tcPr>
          <w:p w14:paraId="3EBFFA16">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left"/>
              <w:rPr>
                <w:rFonts w:hint="eastAsia" w:ascii="楷体" w:hAnsi="楷体" w:eastAsia="楷体" w:cs="楷体"/>
                <w:spacing w:val="-4"/>
                <w:kern w:val="0"/>
                <w:sz w:val="24"/>
                <w:szCs w:val="24"/>
                <w:lang w:val="en-US" w:eastAsia="zh-CN"/>
              </w:rPr>
            </w:pPr>
            <w:r>
              <w:rPr>
                <w:rFonts w:hint="eastAsia" w:ascii="楷体" w:hAnsi="楷体" w:eastAsia="楷体" w:cs="楷体"/>
                <w:spacing w:val="-4"/>
                <w:kern w:val="0"/>
                <w:sz w:val="24"/>
                <w:szCs w:val="24"/>
                <w:lang w:val="en-US" w:eastAsia="zh-CN"/>
              </w:rPr>
              <w:t>带状整地：按照“上挖下填、削高填低、大弯顺势、小弯取直”“随坡整地，坡缓则宽，坡陡则窄；前埂后沟，梯壁留草，反坡梯带”的原则，沿等高线，水平带宽4m，其中带面宽0.8-3m，护坡斜坡宽度1-3.2m；</w:t>
            </w:r>
          </w:p>
          <w:p w14:paraId="24DEAC42">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left"/>
              <w:rPr>
                <w:rFonts w:hint="eastAsia" w:ascii="楷体" w:hAnsi="楷体" w:eastAsia="楷体" w:cs="楷体"/>
                <w:spacing w:val="-4"/>
                <w:kern w:val="0"/>
                <w:sz w:val="24"/>
                <w:szCs w:val="24"/>
                <w:lang w:eastAsia="zh-CN"/>
              </w:rPr>
            </w:pPr>
            <w:r>
              <w:rPr>
                <w:rFonts w:hint="eastAsia" w:ascii="楷体" w:hAnsi="楷体" w:eastAsia="楷体" w:cs="楷体"/>
                <w:spacing w:val="-4"/>
                <w:kern w:val="0"/>
                <w:sz w:val="24"/>
                <w:szCs w:val="24"/>
                <w:lang w:val="en-US" w:eastAsia="zh-CN"/>
              </w:rPr>
              <w:t>种植穴</w:t>
            </w:r>
            <w:r>
              <w:rPr>
                <w:rFonts w:hint="eastAsia" w:ascii="楷体" w:hAnsi="楷体" w:eastAsia="楷体" w:cs="楷体"/>
                <w:spacing w:val="-4"/>
                <w:kern w:val="0"/>
                <w:sz w:val="24"/>
                <w:szCs w:val="24"/>
              </w:rPr>
              <w:t>：长0.6m×宽0.6m×深0.</w:t>
            </w:r>
            <w:r>
              <w:rPr>
                <w:rFonts w:hint="eastAsia" w:ascii="楷体" w:hAnsi="楷体" w:eastAsia="楷体" w:cs="楷体"/>
                <w:spacing w:val="-4"/>
                <w:kern w:val="0"/>
                <w:sz w:val="24"/>
                <w:szCs w:val="24"/>
                <w:lang w:val="en-US" w:eastAsia="zh-CN"/>
              </w:rPr>
              <w:t>6</w:t>
            </w:r>
            <w:r>
              <w:rPr>
                <w:rFonts w:hint="eastAsia" w:ascii="楷体" w:hAnsi="楷体" w:eastAsia="楷体" w:cs="楷体"/>
                <w:spacing w:val="-4"/>
                <w:kern w:val="0"/>
                <w:sz w:val="24"/>
                <w:szCs w:val="24"/>
              </w:rPr>
              <w:t>m</w:t>
            </w:r>
            <w:r>
              <w:rPr>
                <w:rFonts w:hint="eastAsia" w:ascii="楷体" w:hAnsi="楷体" w:eastAsia="楷体" w:cs="楷体"/>
                <w:spacing w:val="-4"/>
                <w:kern w:val="0"/>
                <w:sz w:val="24"/>
                <w:szCs w:val="24"/>
                <w:lang w:eastAsia="zh-CN"/>
              </w:rPr>
              <w:t>。</w:t>
            </w:r>
          </w:p>
        </w:tc>
      </w:tr>
      <w:tr w14:paraId="7BB09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535" w:hRule="atLeast"/>
          <w:jc w:val="center"/>
        </w:trPr>
        <w:tc>
          <w:tcPr>
            <w:tcW w:w="731" w:type="pct"/>
            <w:vAlign w:val="center"/>
          </w:tcPr>
          <w:p w14:paraId="1C3E226C">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造林</w:t>
            </w:r>
          </w:p>
        </w:tc>
        <w:tc>
          <w:tcPr>
            <w:tcW w:w="4268" w:type="pct"/>
            <w:gridSpan w:val="5"/>
            <w:vAlign w:val="center"/>
          </w:tcPr>
          <w:p w14:paraId="5CC8DF03">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left"/>
              <w:rPr>
                <w:rFonts w:hint="eastAsia" w:ascii="楷体" w:hAnsi="楷体" w:eastAsia="楷体" w:cs="楷体"/>
                <w:kern w:val="0"/>
                <w:sz w:val="24"/>
                <w:szCs w:val="24"/>
              </w:rPr>
            </w:pPr>
            <w:r>
              <w:rPr>
                <w:rFonts w:hint="eastAsia" w:ascii="楷体" w:hAnsi="楷体" w:eastAsia="楷体" w:cs="楷体"/>
                <w:kern w:val="0"/>
                <w:sz w:val="24"/>
                <w:szCs w:val="24"/>
              </w:rPr>
              <w:t>春季或冬季植苗造林，造林做到“三埋、二踩、一提苗”，</w:t>
            </w:r>
            <w:r>
              <w:rPr>
                <w:rFonts w:hint="eastAsia" w:ascii="楷体" w:hAnsi="楷体" w:eastAsia="楷体" w:cs="楷体"/>
                <w:kern w:val="0"/>
                <w:sz w:val="24"/>
                <w:szCs w:val="24"/>
                <w:lang w:val="en-US" w:eastAsia="zh-CN"/>
              </w:rPr>
              <w:t>将</w:t>
            </w:r>
            <w:r>
              <w:rPr>
                <w:rFonts w:hint="eastAsia" w:ascii="楷体" w:hAnsi="楷体" w:eastAsia="楷体" w:cs="楷体"/>
                <w:kern w:val="0"/>
                <w:sz w:val="24"/>
                <w:szCs w:val="24"/>
              </w:rPr>
              <w:t>苗木扶正，栽后及时浇足定根水。</w:t>
            </w:r>
          </w:p>
        </w:tc>
      </w:tr>
      <w:tr w14:paraId="2DB3D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91" w:hRule="atLeast"/>
          <w:jc w:val="center"/>
        </w:trPr>
        <w:tc>
          <w:tcPr>
            <w:tcW w:w="731" w:type="pct"/>
            <w:vAlign w:val="center"/>
          </w:tcPr>
          <w:p w14:paraId="3F2FB43E">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抚育管理</w:t>
            </w:r>
          </w:p>
        </w:tc>
        <w:tc>
          <w:tcPr>
            <w:tcW w:w="4268" w:type="pct"/>
            <w:gridSpan w:val="5"/>
            <w:vAlign w:val="center"/>
          </w:tcPr>
          <w:p w14:paraId="29D843B4">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left"/>
              <w:rPr>
                <w:rFonts w:hint="eastAsia" w:ascii="楷体" w:hAnsi="楷体" w:eastAsia="楷体" w:cs="楷体"/>
                <w:kern w:val="0"/>
                <w:sz w:val="24"/>
                <w:szCs w:val="24"/>
              </w:rPr>
            </w:pPr>
            <w:r>
              <w:rPr>
                <w:rFonts w:hint="eastAsia" w:ascii="楷体" w:hAnsi="楷体" w:eastAsia="楷体" w:cs="楷体"/>
                <w:kern w:val="0"/>
                <w:sz w:val="24"/>
                <w:szCs w:val="24"/>
                <w:lang w:val="en-US" w:eastAsia="zh-CN"/>
              </w:rPr>
              <w:t>造林后连续抚育4年，</w:t>
            </w:r>
            <w:r>
              <w:rPr>
                <w:rFonts w:hint="eastAsia" w:ascii="楷体" w:hAnsi="楷体" w:eastAsia="楷体" w:cs="楷体"/>
                <w:kern w:val="0"/>
                <w:sz w:val="24"/>
                <w:szCs w:val="24"/>
              </w:rPr>
              <w:t>做好补植、松土、除草、</w:t>
            </w:r>
            <w:r>
              <w:rPr>
                <w:rFonts w:hint="eastAsia" w:ascii="楷体" w:hAnsi="楷体" w:eastAsia="楷体" w:cs="楷体"/>
                <w:kern w:val="0"/>
                <w:sz w:val="24"/>
                <w:szCs w:val="24"/>
                <w:lang w:val="en-US" w:eastAsia="zh-CN"/>
              </w:rPr>
              <w:t>培兜、修枝、施肥、灌溉</w:t>
            </w:r>
            <w:r>
              <w:rPr>
                <w:rFonts w:hint="eastAsia" w:ascii="楷体" w:hAnsi="楷体" w:eastAsia="楷体" w:cs="楷体"/>
                <w:kern w:val="0"/>
                <w:sz w:val="24"/>
                <w:szCs w:val="24"/>
                <w:lang w:eastAsia="zh-CN"/>
              </w:rPr>
              <w:t>、</w:t>
            </w:r>
            <w:r>
              <w:rPr>
                <w:rFonts w:hint="eastAsia" w:ascii="楷体" w:hAnsi="楷体" w:eastAsia="楷体" w:cs="楷体"/>
                <w:kern w:val="0"/>
                <w:sz w:val="24"/>
                <w:szCs w:val="24"/>
              </w:rPr>
              <w:t>管护及病虫鼠害防治工作。</w:t>
            </w:r>
          </w:p>
        </w:tc>
      </w:tr>
      <w:tr w14:paraId="413B2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3" w:hRule="atLeast"/>
          <w:jc w:val="center"/>
        </w:trPr>
        <w:tc>
          <w:tcPr>
            <w:tcW w:w="731" w:type="pct"/>
            <w:vAlign w:val="center"/>
          </w:tcPr>
          <w:p w14:paraId="2E2F5AE1">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混交方式</w:t>
            </w:r>
          </w:p>
        </w:tc>
        <w:tc>
          <w:tcPr>
            <w:tcW w:w="4268" w:type="pct"/>
            <w:gridSpan w:val="5"/>
            <w:vAlign w:val="center"/>
          </w:tcPr>
          <w:p w14:paraId="56318DED">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带状混交</w:t>
            </w:r>
          </w:p>
        </w:tc>
      </w:tr>
      <w:tr w14:paraId="567C4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3" w:hRule="atLeast"/>
          <w:jc w:val="center"/>
        </w:trPr>
        <w:tc>
          <w:tcPr>
            <w:tcW w:w="731" w:type="pct"/>
            <w:vAlign w:val="center"/>
          </w:tcPr>
          <w:p w14:paraId="5F1C0C60">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配置方式</w:t>
            </w:r>
          </w:p>
        </w:tc>
        <w:tc>
          <w:tcPr>
            <w:tcW w:w="4268" w:type="pct"/>
            <w:gridSpan w:val="5"/>
            <w:vAlign w:val="center"/>
          </w:tcPr>
          <w:p w14:paraId="0C023944">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沿等高线方向带状配置</w:t>
            </w:r>
          </w:p>
        </w:tc>
      </w:tr>
    </w:tbl>
    <w:p w14:paraId="04AD48FA">
      <w:pPr>
        <w:pageBreakBefore w:val="0"/>
        <w:widowControl w:val="0"/>
        <w:kinsoku/>
        <w:wordWrap/>
        <w:overflowPunct/>
        <w:topLinePunct w:val="0"/>
        <w:bidi w:val="0"/>
        <w:snapToGrid/>
        <w:spacing w:after="0" w:line="360" w:lineRule="auto"/>
        <w:ind w:firstLine="562" w:firstLineChars="200"/>
        <w:jc w:val="both"/>
        <w:rPr>
          <w:rFonts w:hint="default" w:ascii="Times New Roman" w:hAnsi="Times New Roman" w:eastAsia="仿宋_GB2312" w:cs="Times New Roman"/>
          <w:b/>
          <w:bCs w:val="0"/>
          <w:kern w:val="0"/>
          <w:sz w:val="28"/>
          <w:szCs w:val="28"/>
          <w:lang w:val="en-US" w:eastAsia="zh-CN"/>
        </w:rPr>
      </w:pPr>
      <w:bookmarkStart w:id="264" w:name="_Toc4800"/>
      <w:bookmarkStart w:id="265" w:name="_Toc7095"/>
      <w:bookmarkStart w:id="266" w:name="_Toc13439"/>
      <w:r>
        <w:rPr>
          <w:rFonts w:hint="eastAsia" w:ascii="Times New Roman" w:hAnsi="Times New Roman" w:eastAsia="仿宋_GB2312" w:cs="Times New Roman"/>
          <w:b/>
          <w:bCs w:val="0"/>
          <w:kern w:val="0"/>
          <w:sz w:val="28"/>
          <w:szCs w:val="28"/>
          <w:lang w:val="en-US" w:eastAsia="zh-CN"/>
        </w:rPr>
        <w:t>（2）高标准油茶新造模式二</w:t>
      </w:r>
    </w:p>
    <w:p w14:paraId="12C64DC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1）植苗造林初植密度56株/亩，株行距为3m×4m，块状整地。</w:t>
      </w:r>
    </w:p>
    <w:p w14:paraId="644B630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2）植苗造林树种为良种油茶，使用适合本地推广的良种，原则上应选取3个及以上、花期相对一致、亲和力高的品种，本项目栽植品种选用长林53号、长林40号、长林4号。</w:t>
      </w:r>
    </w:p>
    <w:p w14:paraId="28F308B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3）原则上应选取3个及以上、花期相对一致、亲和力高的品种，本项目配置方案为主栽品种选用长林53号，配置品种长林40号、长林4号等，沿等高线方向带状配置。</w:t>
      </w:r>
    </w:p>
    <w:p w14:paraId="285CC5E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4）长林53号、长林40号、长林4号混交比例为2:1:1，带状混交。</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08" w:type="dxa"/>
          <w:bottom w:w="15" w:type="dxa"/>
          <w:right w:w="108" w:type="dxa"/>
        </w:tblCellMar>
      </w:tblPr>
      <w:tblGrid>
        <w:gridCol w:w="1245"/>
        <w:gridCol w:w="2209"/>
        <w:gridCol w:w="740"/>
        <w:gridCol w:w="2076"/>
        <w:gridCol w:w="1270"/>
        <w:gridCol w:w="982"/>
      </w:tblGrid>
      <w:tr w14:paraId="57BCE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479" w:hRule="atLeast"/>
          <w:tblHeader/>
          <w:jc w:val="center"/>
        </w:trPr>
        <w:tc>
          <w:tcPr>
            <w:tcW w:w="5000" w:type="pct"/>
            <w:gridSpan w:val="6"/>
            <w:tcBorders>
              <w:top w:val="nil"/>
              <w:left w:val="nil"/>
              <w:bottom w:val="single" w:color="auto" w:sz="4" w:space="0"/>
              <w:right w:val="nil"/>
            </w:tcBorders>
            <w:vAlign w:val="center"/>
          </w:tcPr>
          <w:p w14:paraId="5A49C1E1">
            <w:pPr>
              <w:pStyle w:val="16"/>
              <w:keepNext w:val="0"/>
              <w:keepLines w:val="0"/>
              <w:pageBreakBefore w:val="0"/>
              <w:widowControl w:val="0"/>
              <w:shd w:val="clear" w:color="auto" w:fill="FFFFFF"/>
              <w:kinsoku/>
              <w:wordWrap/>
              <w:overflowPunct/>
              <w:topLinePunct w:val="0"/>
              <w:autoSpaceDE/>
              <w:autoSpaceDN/>
              <w:bidi w:val="0"/>
              <w:adjustRightInd/>
              <w:snapToGrid/>
              <w:spacing w:before="0" w:beforeAutospacing="0" w:after="0" w:afterAutospacing="0" w:line="240" w:lineRule="auto"/>
              <w:ind w:firstLine="0" w:firstLineChars="0"/>
              <w:jc w:val="center"/>
              <w:textAlignment w:val="baseline"/>
              <w:rPr>
                <w:rFonts w:hint="eastAsia" w:ascii="楷体" w:hAnsi="楷体" w:eastAsia="楷体" w:cs="楷体"/>
                <w:sz w:val="24"/>
                <w:szCs w:val="24"/>
              </w:rPr>
            </w:pPr>
            <w:r>
              <w:rPr>
                <w:rFonts w:hint="eastAsia" w:ascii="楷体" w:hAnsi="楷体" w:eastAsia="楷体" w:cs="楷体"/>
                <w:b/>
                <w:bCs/>
                <w:sz w:val="24"/>
                <w:szCs w:val="24"/>
              </w:rPr>
              <w:t>模式</w:t>
            </w:r>
            <w:r>
              <w:rPr>
                <w:rFonts w:hint="eastAsia" w:ascii="楷体" w:hAnsi="楷体" w:eastAsia="楷体" w:cs="楷体"/>
                <w:b/>
                <w:bCs/>
                <w:sz w:val="24"/>
                <w:szCs w:val="24"/>
                <w:lang w:val="en-US" w:eastAsia="zh-CN"/>
              </w:rPr>
              <w:t xml:space="preserve">二 </w:t>
            </w:r>
            <w:r>
              <w:rPr>
                <w:rFonts w:hint="eastAsia" w:ascii="楷体" w:hAnsi="楷体" w:eastAsia="楷体" w:cs="楷体"/>
                <w:b/>
                <w:bCs/>
                <w:sz w:val="24"/>
                <w:szCs w:val="24"/>
              </w:rPr>
              <w:t>高标准油茶新造模式</w:t>
            </w:r>
          </w:p>
        </w:tc>
      </w:tr>
      <w:tr w14:paraId="11031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3" w:hRule="atLeast"/>
          <w:jc w:val="center"/>
        </w:trPr>
        <w:tc>
          <w:tcPr>
            <w:tcW w:w="5000" w:type="pct"/>
            <w:gridSpan w:val="6"/>
            <w:tcBorders>
              <w:top w:val="single" w:color="auto" w:sz="4" w:space="0"/>
            </w:tcBorders>
            <w:vAlign w:val="center"/>
          </w:tcPr>
          <w:p w14:paraId="72BE556F">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种苗计划</w:t>
            </w:r>
          </w:p>
        </w:tc>
      </w:tr>
      <w:tr w14:paraId="1FB4F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505" w:hRule="atLeast"/>
          <w:jc w:val="center"/>
        </w:trPr>
        <w:tc>
          <w:tcPr>
            <w:tcW w:w="731" w:type="pct"/>
            <w:vAlign w:val="center"/>
          </w:tcPr>
          <w:p w14:paraId="6DD7F966">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造林方式</w:t>
            </w:r>
          </w:p>
        </w:tc>
        <w:tc>
          <w:tcPr>
            <w:tcW w:w="1296" w:type="pct"/>
            <w:vAlign w:val="center"/>
          </w:tcPr>
          <w:p w14:paraId="1F770929">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树种</w:t>
            </w:r>
          </w:p>
        </w:tc>
        <w:tc>
          <w:tcPr>
            <w:tcW w:w="434" w:type="pct"/>
            <w:vAlign w:val="center"/>
          </w:tcPr>
          <w:p w14:paraId="19D4DA2F">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混交</w:t>
            </w:r>
          </w:p>
          <w:p w14:paraId="7E22A463">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比例</w:t>
            </w:r>
          </w:p>
        </w:tc>
        <w:tc>
          <w:tcPr>
            <w:tcW w:w="1218" w:type="pct"/>
            <w:vAlign w:val="center"/>
          </w:tcPr>
          <w:p w14:paraId="26B421F8">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种苗规格</w:t>
            </w:r>
          </w:p>
        </w:tc>
        <w:tc>
          <w:tcPr>
            <w:tcW w:w="745" w:type="pct"/>
            <w:vAlign w:val="center"/>
          </w:tcPr>
          <w:p w14:paraId="5B65E3F9">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lang w:eastAsia="zh-CN"/>
              </w:rPr>
            </w:pPr>
            <w:r>
              <w:rPr>
                <w:rFonts w:hint="eastAsia" w:ascii="楷体" w:hAnsi="楷体" w:eastAsia="楷体" w:cs="楷体"/>
                <w:kern w:val="0"/>
                <w:sz w:val="24"/>
                <w:szCs w:val="24"/>
              </w:rPr>
              <w:t>初植密度</w:t>
            </w:r>
          </w:p>
          <w:p w14:paraId="0EC69983">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（株/亩）</w:t>
            </w:r>
          </w:p>
        </w:tc>
        <w:tc>
          <w:tcPr>
            <w:tcW w:w="574" w:type="pct"/>
            <w:vAlign w:val="center"/>
          </w:tcPr>
          <w:p w14:paraId="6EF7B241">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lang w:eastAsia="zh-CN"/>
              </w:rPr>
            </w:pPr>
            <w:r>
              <w:rPr>
                <w:rFonts w:hint="eastAsia" w:ascii="楷体" w:hAnsi="楷体" w:eastAsia="楷体" w:cs="楷体"/>
                <w:kern w:val="0"/>
                <w:sz w:val="24"/>
                <w:szCs w:val="24"/>
              </w:rPr>
              <w:t>株行距</w:t>
            </w:r>
          </w:p>
          <w:p w14:paraId="21E86470">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（m）</w:t>
            </w:r>
          </w:p>
        </w:tc>
      </w:tr>
      <w:tr w14:paraId="0811E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312" w:hRule="atLeast"/>
          <w:jc w:val="center"/>
        </w:trPr>
        <w:tc>
          <w:tcPr>
            <w:tcW w:w="731" w:type="pct"/>
            <w:vMerge w:val="restart"/>
            <w:vAlign w:val="center"/>
          </w:tcPr>
          <w:p w14:paraId="544A9194">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植苗</w:t>
            </w:r>
          </w:p>
        </w:tc>
        <w:tc>
          <w:tcPr>
            <w:tcW w:w="1296" w:type="pct"/>
            <w:vAlign w:val="center"/>
          </w:tcPr>
          <w:p w14:paraId="6D10727C">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长林53号</w:t>
            </w:r>
          </w:p>
        </w:tc>
        <w:tc>
          <w:tcPr>
            <w:tcW w:w="434" w:type="pct"/>
            <w:vAlign w:val="center"/>
          </w:tcPr>
          <w:p w14:paraId="2D69B5F9">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lang w:val="en-US" w:eastAsia="zh-CN"/>
              </w:rPr>
            </w:pPr>
            <w:r>
              <w:rPr>
                <w:rFonts w:hint="eastAsia" w:ascii="楷体" w:hAnsi="楷体" w:eastAsia="楷体" w:cs="楷体"/>
                <w:kern w:val="0"/>
                <w:sz w:val="24"/>
                <w:szCs w:val="24"/>
                <w:lang w:val="en-US" w:eastAsia="zh-CN"/>
              </w:rPr>
              <w:t>2</w:t>
            </w:r>
          </w:p>
        </w:tc>
        <w:tc>
          <w:tcPr>
            <w:tcW w:w="1218" w:type="pct"/>
            <w:vMerge w:val="restart"/>
            <w:vAlign w:val="center"/>
          </w:tcPr>
          <w:p w14:paraId="5906D480">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default" w:ascii="楷体" w:hAnsi="楷体" w:eastAsia="楷体" w:cs="楷体"/>
                <w:kern w:val="0"/>
                <w:sz w:val="24"/>
                <w:szCs w:val="24"/>
                <w:lang w:val="en-US" w:eastAsia="zh-CN"/>
              </w:rPr>
            </w:pPr>
            <w:r>
              <w:rPr>
                <w:rFonts w:hint="eastAsia" w:ascii="楷体" w:hAnsi="楷体" w:eastAsia="楷体" w:cs="楷体"/>
                <w:kern w:val="0"/>
                <w:sz w:val="24"/>
                <w:szCs w:val="24"/>
                <w:lang w:val="en-US" w:eastAsia="zh-CN"/>
              </w:rPr>
              <w:t>2年生容器苗，苗高40cm以上</w:t>
            </w:r>
          </w:p>
        </w:tc>
        <w:tc>
          <w:tcPr>
            <w:tcW w:w="745" w:type="pct"/>
            <w:vAlign w:val="center"/>
          </w:tcPr>
          <w:p w14:paraId="2B719953">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default" w:ascii="楷体" w:hAnsi="楷体" w:eastAsia="楷体" w:cs="楷体"/>
                <w:kern w:val="0"/>
                <w:sz w:val="24"/>
                <w:szCs w:val="24"/>
                <w:lang w:val="en-US" w:eastAsia="zh-CN"/>
              </w:rPr>
            </w:pPr>
            <w:r>
              <w:rPr>
                <w:rFonts w:hint="eastAsia" w:ascii="楷体" w:hAnsi="楷体" w:eastAsia="楷体" w:cs="楷体"/>
                <w:kern w:val="0"/>
                <w:sz w:val="24"/>
                <w:szCs w:val="24"/>
                <w:lang w:val="en-US" w:eastAsia="zh-CN"/>
              </w:rPr>
              <w:t>28</w:t>
            </w:r>
          </w:p>
        </w:tc>
        <w:tc>
          <w:tcPr>
            <w:tcW w:w="574" w:type="pct"/>
            <w:vMerge w:val="restart"/>
            <w:vAlign w:val="center"/>
          </w:tcPr>
          <w:p w14:paraId="24C5F633">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lang w:val="en-US" w:eastAsia="zh-CN"/>
              </w:rPr>
              <w:t>3×4</w:t>
            </w:r>
          </w:p>
        </w:tc>
      </w:tr>
      <w:tr w14:paraId="4A9AC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312" w:hRule="atLeast"/>
          <w:jc w:val="center"/>
        </w:trPr>
        <w:tc>
          <w:tcPr>
            <w:tcW w:w="731" w:type="pct"/>
            <w:vMerge w:val="continue"/>
            <w:vAlign w:val="center"/>
          </w:tcPr>
          <w:p w14:paraId="7D700A9C">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p>
        </w:tc>
        <w:tc>
          <w:tcPr>
            <w:tcW w:w="1296" w:type="pct"/>
            <w:vAlign w:val="center"/>
          </w:tcPr>
          <w:p w14:paraId="447988B0">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default" w:ascii="楷体" w:hAnsi="楷体" w:eastAsia="楷体" w:cs="楷体"/>
                <w:kern w:val="0"/>
                <w:sz w:val="24"/>
                <w:szCs w:val="24"/>
                <w:lang w:val="en-US" w:eastAsia="zh-CN"/>
              </w:rPr>
            </w:pPr>
            <w:r>
              <w:rPr>
                <w:rFonts w:hint="eastAsia" w:ascii="楷体" w:hAnsi="楷体" w:eastAsia="楷体" w:cs="楷体"/>
                <w:kern w:val="0"/>
                <w:sz w:val="24"/>
                <w:szCs w:val="24"/>
              </w:rPr>
              <w:t>长林40号</w:t>
            </w:r>
          </w:p>
        </w:tc>
        <w:tc>
          <w:tcPr>
            <w:tcW w:w="434" w:type="pct"/>
            <w:vAlign w:val="center"/>
          </w:tcPr>
          <w:p w14:paraId="3E18E04A">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lang w:val="en-US" w:eastAsia="zh-CN"/>
              </w:rPr>
            </w:pPr>
            <w:r>
              <w:rPr>
                <w:rFonts w:hint="eastAsia" w:ascii="楷体" w:hAnsi="楷体" w:eastAsia="楷体" w:cs="楷体"/>
                <w:kern w:val="0"/>
                <w:sz w:val="24"/>
                <w:szCs w:val="24"/>
                <w:lang w:val="en-US" w:eastAsia="zh-CN"/>
              </w:rPr>
              <w:t>1</w:t>
            </w:r>
          </w:p>
        </w:tc>
        <w:tc>
          <w:tcPr>
            <w:tcW w:w="1218" w:type="pct"/>
            <w:vMerge w:val="continue"/>
            <w:vAlign w:val="center"/>
          </w:tcPr>
          <w:p w14:paraId="0E8873C0">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rPr>
                <w:rFonts w:hint="eastAsia" w:ascii="楷体" w:hAnsi="楷体" w:eastAsia="楷体" w:cs="楷体"/>
                <w:kern w:val="0"/>
                <w:sz w:val="24"/>
                <w:szCs w:val="24"/>
              </w:rPr>
            </w:pPr>
          </w:p>
        </w:tc>
        <w:tc>
          <w:tcPr>
            <w:tcW w:w="745" w:type="pct"/>
            <w:vAlign w:val="center"/>
          </w:tcPr>
          <w:p w14:paraId="17CF6E9D">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default" w:ascii="楷体" w:hAnsi="楷体" w:eastAsia="楷体" w:cs="楷体"/>
                <w:kern w:val="0"/>
                <w:sz w:val="24"/>
                <w:szCs w:val="24"/>
                <w:lang w:val="en-US" w:eastAsia="zh-CN"/>
              </w:rPr>
            </w:pPr>
            <w:r>
              <w:rPr>
                <w:rFonts w:hint="eastAsia" w:ascii="楷体" w:hAnsi="楷体" w:eastAsia="楷体" w:cs="楷体"/>
                <w:kern w:val="0"/>
                <w:sz w:val="24"/>
                <w:szCs w:val="24"/>
                <w:lang w:val="en-US" w:eastAsia="zh-CN"/>
              </w:rPr>
              <w:t>14</w:t>
            </w:r>
          </w:p>
        </w:tc>
        <w:tc>
          <w:tcPr>
            <w:tcW w:w="574" w:type="pct"/>
            <w:vMerge w:val="continue"/>
            <w:vAlign w:val="center"/>
          </w:tcPr>
          <w:p w14:paraId="01DA5767">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p>
        </w:tc>
      </w:tr>
      <w:tr w14:paraId="039EE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312" w:hRule="atLeast"/>
          <w:jc w:val="center"/>
        </w:trPr>
        <w:tc>
          <w:tcPr>
            <w:tcW w:w="731" w:type="pct"/>
            <w:vMerge w:val="continue"/>
            <w:vAlign w:val="center"/>
          </w:tcPr>
          <w:p w14:paraId="38D2CE37">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p>
        </w:tc>
        <w:tc>
          <w:tcPr>
            <w:tcW w:w="1296" w:type="pct"/>
            <w:vAlign w:val="center"/>
          </w:tcPr>
          <w:p w14:paraId="565209DB">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长林4号</w:t>
            </w:r>
          </w:p>
        </w:tc>
        <w:tc>
          <w:tcPr>
            <w:tcW w:w="434" w:type="pct"/>
            <w:vAlign w:val="center"/>
          </w:tcPr>
          <w:p w14:paraId="5C495ED2">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default" w:ascii="楷体" w:hAnsi="楷体" w:eastAsia="楷体" w:cs="楷体"/>
                <w:kern w:val="0"/>
                <w:sz w:val="24"/>
                <w:szCs w:val="24"/>
                <w:lang w:val="en-US" w:eastAsia="zh-CN"/>
              </w:rPr>
            </w:pPr>
            <w:r>
              <w:rPr>
                <w:rFonts w:hint="eastAsia" w:ascii="楷体" w:hAnsi="楷体" w:eastAsia="楷体" w:cs="楷体"/>
                <w:kern w:val="0"/>
                <w:sz w:val="24"/>
                <w:szCs w:val="24"/>
                <w:lang w:val="en-US" w:eastAsia="zh-CN"/>
              </w:rPr>
              <w:t>1</w:t>
            </w:r>
          </w:p>
        </w:tc>
        <w:tc>
          <w:tcPr>
            <w:tcW w:w="1218" w:type="pct"/>
            <w:vMerge w:val="continue"/>
            <w:vAlign w:val="center"/>
          </w:tcPr>
          <w:p w14:paraId="5F6D56FF">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rPr>
                <w:rFonts w:hint="eastAsia" w:ascii="楷体" w:hAnsi="楷体" w:eastAsia="楷体" w:cs="楷体"/>
                <w:kern w:val="0"/>
                <w:sz w:val="24"/>
                <w:szCs w:val="24"/>
              </w:rPr>
            </w:pPr>
          </w:p>
        </w:tc>
        <w:tc>
          <w:tcPr>
            <w:tcW w:w="745" w:type="pct"/>
            <w:vAlign w:val="center"/>
          </w:tcPr>
          <w:p w14:paraId="6F236B83">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default" w:ascii="楷体" w:hAnsi="楷体" w:eastAsia="楷体" w:cs="楷体"/>
                <w:kern w:val="0"/>
                <w:sz w:val="24"/>
                <w:szCs w:val="24"/>
                <w:lang w:val="en-US" w:eastAsia="zh-CN"/>
              </w:rPr>
            </w:pPr>
            <w:r>
              <w:rPr>
                <w:rFonts w:hint="eastAsia" w:ascii="楷体" w:hAnsi="楷体" w:eastAsia="楷体" w:cs="楷体"/>
                <w:kern w:val="0"/>
                <w:sz w:val="24"/>
                <w:szCs w:val="24"/>
                <w:lang w:val="en-US" w:eastAsia="zh-CN"/>
              </w:rPr>
              <w:t>14</w:t>
            </w:r>
          </w:p>
        </w:tc>
        <w:tc>
          <w:tcPr>
            <w:tcW w:w="574" w:type="pct"/>
            <w:vMerge w:val="continue"/>
            <w:vAlign w:val="center"/>
          </w:tcPr>
          <w:p w14:paraId="64BDE239">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p>
        </w:tc>
      </w:tr>
      <w:tr w14:paraId="20337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312" w:hRule="atLeast"/>
          <w:jc w:val="center"/>
        </w:trPr>
        <w:tc>
          <w:tcPr>
            <w:tcW w:w="5000" w:type="pct"/>
            <w:gridSpan w:val="6"/>
            <w:vAlign w:val="center"/>
          </w:tcPr>
          <w:p w14:paraId="7428EF32">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技术措施</w:t>
            </w:r>
          </w:p>
        </w:tc>
      </w:tr>
      <w:tr w14:paraId="79D87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312" w:hRule="atLeast"/>
          <w:jc w:val="center"/>
        </w:trPr>
        <w:tc>
          <w:tcPr>
            <w:tcW w:w="731" w:type="pct"/>
            <w:vAlign w:val="center"/>
          </w:tcPr>
          <w:p w14:paraId="55439206">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default" w:ascii="楷体" w:hAnsi="楷体" w:eastAsia="楷体" w:cs="楷体"/>
                <w:kern w:val="0"/>
                <w:sz w:val="24"/>
                <w:szCs w:val="24"/>
                <w:lang w:val="en-US" w:eastAsia="zh-CN"/>
              </w:rPr>
            </w:pPr>
            <w:r>
              <w:rPr>
                <w:rFonts w:hint="eastAsia" w:ascii="楷体" w:hAnsi="楷体" w:eastAsia="楷体" w:cs="楷体"/>
                <w:kern w:val="0"/>
                <w:sz w:val="24"/>
                <w:szCs w:val="24"/>
                <w:lang w:val="en-US" w:eastAsia="zh-CN"/>
              </w:rPr>
              <w:t>林地清理</w:t>
            </w:r>
          </w:p>
        </w:tc>
        <w:tc>
          <w:tcPr>
            <w:tcW w:w="4268" w:type="pct"/>
            <w:gridSpan w:val="5"/>
            <w:vAlign w:val="center"/>
          </w:tcPr>
          <w:p w14:paraId="768E09ED">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left"/>
              <w:rPr>
                <w:rFonts w:hint="default" w:ascii="楷体" w:hAnsi="楷体" w:eastAsia="楷体" w:cs="楷体"/>
                <w:spacing w:val="-4"/>
                <w:kern w:val="0"/>
                <w:sz w:val="24"/>
                <w:szCs w:val="24"/>
                <w:lang w:val="en-US" w:eastAsia="zh-CN"/>
              </w:rPr>
            </w:pPr>
            <w:r>
              <w:rPr>
                <w:rFonts w:hint="eastAsia" w:ascii="楷体" w:hAnsi="楷体" w:eastAsia="楷体" w:cs="楷体"/>
                <w:spacing w:val="-4"/>
                <w:kern w:val="0"/>
                <w:sz w:val="24"/>
                <w:szCs w:val="24"/>
                <w:lang w:val="en-US" w:eastAsia="zh-CN"/>
              </w:rPr>
              <w:t>采伐后全林地清理，劈、割劈除非目的乔木、杂灌、草本、藤本。</w:t>
            </w:r>
          </w:p>
        </w:tc>
      </w:tr>
      <w:tr w14:paraId="341BB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312" w:hRule="atLeast"/>
          <w:jc w:val="center"/>
        </w:trPr>
        <w:tc>
          <w:tcPr>
            <w:tcW w:w="731" w:type="pct"/>
            <w:vAlign w:val="center"/>
          </w:tcPr>
          <w:p w14:paraId="2347A9F9">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整地</w:t>
            </w:r>
            <w:r>
              <w:rPr>
                <w:rFonts w:hint="eastAsia" w:ascii="楷体" w:hAnsi="楷体" w:eastAsia="楷体" w:cs="楷体"/>
                <w:kern w:val="0"/>
                <w:sz w:val="24"/>
                <w:szCs w:val="24"/>
                <w:lang w:val="en-US" w:eastAsia="zh-CN"/>
              </w:rPr>
              <w:t>及挖穴</w:t>
            </w:r>
          </w:p>
        </w:tc>
        <w:tc>
          <w:tcPr>
            <w:tcW w:w="4268" w:type="pct"/>
            <w:gridSpan w:val="5"/>
            <w:vAlign w:val="center"/>
          </w:tcPr>
          <w:p w14:paraId="09B5B2D2">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left"/>
              <w:rPr>
                <w:rFonts w:hint="default" w:ascii="楷体" w:hAnsi="楷体" w:eastAsia="楷体" w:cs="楷体"/>
                <w:spacing w:val="-4"/>
                <w:kern w:val="0"/>
                <w:sz w:val="24"/>
                <w:szCs w:val="24"/>
                <w:lang w:val="en-US" w:eastAsia="zh-CN"/>
              </w:rPr>
            </w:pPr>
            <w:r>
              <w:rPr>
                <w:rFonts w:hint="eastAsia" w:ascii="楷体" w:hAnsi="楷体" w:eastAsia="楷体" w:cs="楷体"/>
                <w:spacing w:val="-4"/>
                <w:kern w:val="0"/>
                <w:sz w:val="24"/>
                <w:szCs w:val="24"/>
                <w:lang w:val="en-US" w:eastAsia="zh-CN"/>
              </w:rPr>
              <w:t>块状整地：按照造林规划的位置，沿等高线方向品字形布置，规格1.0m</w:t>
            </w:r>
            <w:r>
              <w:rPr>
                <w:rFonts w:hint="eastAsia" w:ascii="楷体" w:hAnsi="楷体" w:eastAsia="楷体" w:cs="楷体"/>
                <w:spacing w:val="-4"/>
                <w:kern w:val="0"/>
                <w:sz w:val="24"/>
                <w:szCs w:val="24"/>
              </w:rPr>
              <w:t>×</w:t>
            </w:r>
            <w:r>
              <w:rPr>
                <w:rFonts w:hint="eastAsia" w:ascii="楷体" w:hAnsi="楷体" w:eastAsia="楷体" w:cs="楷体"/>
                <w:spacing w:val="-4"/>
                <w:kern w:val="0"/>
                <w:sz w:val="24"/>
                <w:szCs w:val="24"/>
                <w:lang w:val="en-US" w:eastAsia="zh-CN"/>
              </w:rPr>
              <w:t>1.0m；</w:t>
            </w:r>
          </w:p>
          <w:p w14:paraId="175F5F32">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left"/>
              <w:rPr>
                <w:rFonts w:hint="eastAsia" w:ascii="楷体" w:hAnsi="楷体" w:eastAsia="楷体" w:cs="楷体"/>
                <w:spacing w:val="-4"/>
                <w:kern w:val="0"/>
                <w:sz w:val="24"/>
                <w:szCs w:val="24"/>
                <w:lang w:eastAsia="zh-CN"/>
              </w:rPr>
            </w:pPr>
            <w:r>
              <w:rPr>
                <w:rFonts w:hint="eastAsia" w:ascii="楷体" w:hAnsi="楷体" w:eastAsia="楷体" w:cs="楷体"/>
                <w:spacing w:val="-4"/>
                <w:kern w:val="0"/>
                <w:sz w:val="24"/>
                <w:szCs w:val="24"/>
                <w:lang w:val="en-US" w:eastAsia="zh-CN"/>
              </w:rPr>
              <w:t>种植穴</w:t>
            </w:r>
            <w:r>
              <w:rPr>
                <w:rFonts w:hint="eastAsia" w:ascii="楷体" w:hAnsi="楷体" w:eastAsia="楷体" w:cs="楷体"/>
                <w:spacing w:val="-4"/>
                <w:kern w:val="0"/>
                <w:sz w:val="24"/>
                <w:szCs w:val="24"/>
              </w:rPr>
              <w:t>：长0.6m×宽0.6m×深0.</w:t>
            </w:r>
            <w:r>
              <w:rPr>
                <w:rFonts w:hint="eastAsia" w:ascii="楷体" w:hAnsi="楷体" w:eastAsia="楷体" w:cs="楷体"/>
                <w:spacing w:val="-4"/>
                <w:kern w:val="0"/>
                <w:sz w:val="24"/>
                <w:szCs w:val="24"/>
                <w:lang w:val="en-US" w:eastAsia="zh-CN"/>
              </w:rPr>
              <w:t>6</w:t>
            </w:r>
            <w:r>
              <w:rPr>
                <w:rFonts w:hint="eastAsia" w:ascii="楷体" w:hAnsi="楷体" w:eastAsia="楷体" w:cs="楷体"/>
                <w:spacing w:val="-4"/>
                <w:kern w:val="0"/>
                <w:sz w:val="24"/>
                <w:szCs w:val="24"/>
              </w:rPr>
              <w:t>m</w:t>
            </w:r>
            <w:r>
              <w:rPr>
                <w:rFonts w:hint="eastAsia" w:ascii="楷体" w:hAnsi="楷体" w:eastAsia="楷体" w:cs="楷体"/>
                <w:spacing w:val="-4"/>
                <w:kern w:val="0"/>
                <w:sz w:val="24"/>
                <w:szCs w:val="24"/>
                <w:lang w:eastAsia="zh-CN"/>
              </w:rPr>
              <w:t>。</w:t>
            </w:r>
          </w:p>
        </w:tc>
      </w:tr>
      <w:tr w14:paraId="470FC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535" w:hRule="atLeast"/>
          <w:jc w:val="center"/>
        </w:trPr>
        <w:tc>
          <w:tcPr>
            <w:tcW w:w="731" w:type="pct"/>
            <w:vAlign w:val="center"/>
          </w:tcPr>
          <w:p w14:paraId="7DBDB9CF">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造林</w:t>
            </w:r>
          </w:p>
        </w:tc>
        <w:tc>
          <w:tcPr>
            <w:tcW w:w="4268" w:type="pct"/>
            <w:gridSpan w:val="5"/>
            <w:vAlign w:val="center"/>
          </w:tcPr>
          <w:p w14:paraId="11B6A424">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left"/>
              <w:rPr>
                <w:rFonts w:hint="eastAsia" w:ascii="楷体" w:hAnsi="楷体" w:eastAsia="楷体" w:cs="楷体"/>
                <w:kern w:val="0"/>
                <w:sz w:val="24"/>
                <w:szCs w:val="24"/>
              </w:rPr>
            </w:pPr>
            <w:r>
              <w:rPr>
                <w:rFonts w:hint="eastAsia" w:ascii="楷体" w:hAnsi="楷体" w:eastAsia="楷体" w:cs="楷体"/>
                <w:kern w:val="0"/>
                <w:sz w:val="24"/>
                <w:szCs w:val="24"/>
              </w:rPr>
              <w:t>春季或冬季植苗造林，造林做到“三埋、二踩、一提苗”，</w:t>
            </w:r>
            <w:r>
              <w:rPr>
                <w:rFonts w:hint="eastAsia" w:ascii="楷体" w:hAnsi="楷体" w:eastAsia="楷体" w:cs="楷体"/>
                <w:kern w:val="0"/>
                <w:sz w:val="24"/>
                <w:szCs w:val="24"/>
                <w:lang w:val="en-US" w:eastAsia="zh-CN"/>
              </w:rPr>
              <w:t>将</w:t>
            </w:r>
            <w:r>
              <w:rPr>
                <w:rFonts w:hint="eastAsia" w:ascii="楷体" w:hAnsi="楷体" w:eastAsia="楷体" w:cs="楷体"/>
                <w:kern w:val="0"/>
                <w:sz w:val="24"/>
                <w:szCs w:val="24"/>
              </w:rPr>
              <w:t>苗木扶正，栽后及时浇足定根水。</w:t>
            </w:r>
          </w:p>
        </w:tc>
      </w:tr>
      <w:tr w14:paraId="2CCEB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91" w:hRule="atLeast"/>
          <w:jc w:val="center"/>
        </w:trPr>
        <w:tc>
          <w:tcPr>
            <w:tcW w:w="731" w:type="pct"/>
            <w:vAlign w:val="center"/>
          </w:tcPr>
          <w:p w14:paraId="34B1226D">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抚育管理</w:t>
            </w:r>
          </w:p>
        </w:tc>
        <w:tc>
          <w:tcPr>
            <w:tcW w:w="4268" w:type="pct"/>
            <w:gridSpan w:val="5"/>
            <w:vAlign w:val="center"/>
          </w:tcPr>
          <w:p w14:paraId="42121CC6">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left"/>
              <w:rPr>
                <w:rFonts w:hint="eastAsia" w:ascii="楷体" w:hAnsi="楷体" w:eastAsia="楷体" w:cs="楷体"/>
                <w:kern w:val="0"/>
                <w:sz w:val="24"/>
                <w:szCs w:val="24"/>
              </w:rPr>
            </w:pPr>
            <w:r>
              <w:rPr>
                <w:rFonts w:hint="eastAsia" w:ascii="楷体" w:hAnsi="楷体" w:eastAsia="楷体" w:cs="楷体"/>
                <w:kern w:val="0"/>
                <w:sz w:val="24"/>
                <w:szCs w:val="24"/>
                <w:lang w:val="en-US" w:eastAsia="zh-CN"/>
              </w:rPr>
              <w:t>造林后连续抚育4年，</w:t>
            </w:r>
            <w:r>
              <w:rPr>
                <w:rFonts w:hint="eastAsia" w:ascii="楷体" w:hAnsi="楷体" w:eastAsia="楷体" w:cs="楷体"/>
                <w:kern w:val="0"/>
                <w:sz w:val="24"/>
                <w:szCs w:val="24"/>
              </w:rPr>
              <w:t>做好补植、松土、除草、</w:t>
            </w:r>
            <w:r>
              <w:rPr>
                <w:rFonts w:hint="eastAsia" w:ascii="楷体" w:hAnsi="楷体" w:eastAsia="楷体" w:cs="楷体"/>
                <w:kern w:val="0"/>
                <w:sz w:val="24"/>
                <w:szCs w:val="24"/>
                <w:lang w:val="en-US" w:eastAsia="zh-CN"/>
              </w:rPr>
              <w:t>培兜、修枝、施肥、灌溉</w:t>
            </w:r>
            <w:r>
              <w:rPr>
                <w:rFonts w:hint="eastAsia" w:ascii="楷体" w:hAnsi="楷体" w:eastAsia="楷体" w:cs="楷体"/>
                <w:kern w:val="0"/>
                <w:sz w:val="24"/>
                <w:szCs w:val="24"/>
                <w:lang w:eastAsia="zh-CN"/>
              </w:rPr>
              <w:t>、</w:t>
            </w:r>
            <w:r>
              <w:rPr>
                <w:rFonts w:hint="eastAsia" w:ascii="楷体" w:hAnsi="楷体" w:eastAsia="楷体" w:cs="楷体"/>
                <w:kern w:val="0"/>
                <w:sz w:val="24"/>
                <w:szCs w:val="24"/>
              </w:rPr>
              <w:t>管护及病虫鼠害防治工作</w:t>
            </w:r>
            <w:r>
              <w:rPr>
                <w:rFonts w:hint="eastAsia" w:ascii="楷体" w:hAnsi="楷体" w:eastAsia="楷体" w:cs="楷体"/>
                <w:kern w:val="0"/>
                <w:sz w:val="24"/>
                <w:szCs w:val="24"/>
                <w:lang w:eastAsia="zh-CN"/>
              </w:rPr>
              <w:t>。</w:t>
            </w:r>
            <w:r>
              <w:rPr>
                <w:rFonts w:hint="eastAsia" w:ascii="楷体" w:hAnsi="楷体" w:eastAsia="楷体" w:cs="楷体"/>
                <w:kern w:val="0"/>
                <w:sz w:val="24"/>
                <w:szCs w:val="24"/>
                <w:lang w:val="en-US" w:eastAsia="zh-CN"/>
              </w:rPr>
              <w:t>针对块状整地，</w:t>
            </w:r>
            <w:r>
              <w:rPr>
                <w:rFonts w:hint="eastAsia" w:ascii="楷体" w:hAnsi="楷体" w:eastAsia="楷体" w:cs="楷体"/>
                <w:kern w:val="0"/>
                <w:sz w:val="24"/>
                <w:szCs w:val="24"/>
                <w:lang w:eastAsia="zh-CN"/>
              </w:rPr>
              <w:t>前两年抚育管理以油茶树为中心，逐步将穴扩成（1×1）m小平台；后期抚育管理将同高度小平台修通，逐渐形成1m宽人工水平带面</w:t>
            </w:r>
            <w:r>
              <w:rPr>
                <w:rFonts w:hint="eastAsia" w:ascii="楷体" w:hAnsi="楷体" w:eastAsia="楷体" w:cs="楷体"/>
                <w:kern w:val="0"/>
                <w:sz w:val="24"/>
                <w:szCs w:val="24"/>
              </w:rPr>
              <w:t>。</w:t>
            </w:r>
          </w:p>
        </w:tc>
      </w:tr>
      <w:tr w14:paraId="7BADB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3" w:hRule="atLeast"/>
          <w:jc w:val="center"/>
        </w:trPr>
        <w:tc>
          <w:tcPr>
            <w:tcW w:w="731" w:type="pct"/>
            <w:vAlign w:val="center"/>
          </w:tcPr>
          <w:p w14:paraId="1563D6DB">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混交方式</w:t>
            </w:r>
          </w:p>
        </w:tc>
        <w:tc>
          <w:tcPr>
            <w:tcW w:w="4268" w:type="pct"/>
            <w:gridSpan w:val="5"/>
            <w:vAlign w:val="center"/>
          </w:tcPr>
          <w:p w14:paraId="7C256FBF">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带状混交</w:t>
            </w:r>
          </w:p>
        </w:tc>
      </w:tr>
      <w:tr w14:paraId="4FD07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3" w:hRule="atLeast"/>
          <w:jc w:val="center"/>
        </w:trPr>
        <w:tc>
          <w:tcPr>
            <w:tcW w:w="731" w:type="pct"/>
            <w:vAlign w:val="center"/>
          </w:tcPr>
          <w:p w14:paraId="52D03767">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eastAsia" w:ascii="楷体" w:hAnsi="楷体" w:eastAsia="楷体" w:cs="楷体"/>
                <w:kern w:val="0"/>
                <w:sz w:val="24"/>
                <w:szCs w:val="24"/>
              </w:rPr>
            </w:pPr>
            <w:r>
              <w:rPr>
                <w:rFonts w:hint="eastAsia" w:ascii="楷体" w:hAnsi="楷体" w:eastAsia="楷体" w:cs="楷体"/>
                <w:kern w:val="0"/>
                <w:sz w:val="24"/>
                <w:szCs w:val="24"/>
              </w:rPr>
              <w:t>配置方式</w:t>
            </w:r>
          </w:p>
        </w:tc>
        <w:tc>
          <w:tcPr>
            <w:tcW w:w="4268" w:type="pct"/>
            <w:gridSpan w:val="5"/>
            <w:vAlign w:val="center"/>
          </w:tcPr>
          <w:p w14:paraId="5FD488FF">
            <w:pPr>
              <w:keepNext w:val="0"/>
              <w:keepLines w:val="0"/>
              <w:pageBreakBefore w:val="0"/>
              <w:widowControl w:val="0"/>
              <w:kinsoku/>
              <w:wordWrap/>
              <w:overflowPunct/>
              <w:topLinePunct w:val="0"/>
              <w:autoSpaceDE/>
              <w:autoSpaceDN/>
              <w:bidi w:val="0"/>
              <w:adjustRightInd/>
              <w:snapToGrid/>
              <w:spacing w:beforeAutospacing="0" w:after="0" w:afterAutospacing="0" w:line="240" w:lineRule="auto"/>
              <w:ind w:firstLine="0" w:firstLineChars="0"/>
              <w:jc w:val="cente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沿等高线方向带状配置</w:t>
            </w:r>
          </w:p>
        </w:tc>
      </w:tr>
    </w:tbl>
    <w:p w14:paraId="398BB910">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r>
        <w:rPr>
          <w:rFonts w:hint="eastAsia" w:ascii="黑体" w:hAnsi="黑体" w:cs="Times New Roman"/>
          <w:bCs w:val="0"/>
          <w:kern w:val="0"/>
          <w:sz w:val="32"/>
          <w:szCs w:val="32"/>
          <w:lang w:val="en-US" w:eastAsia="zh-CN"/>
        </w:rPr>
        <w:t>3</w:t>
      </w:r>
      <w:r>
        <w:rPr>
          <w:rFonts w:hint="eastAsia" w:ascii="黑体" w:hAnsi="黑体" w:eastAsia="黑体" w:cs="Times New Roman"/>
          <w:bCs w:val="0"/>
          <w:kern w:val="0"/>
          <w:sz w:val="32"/>
          <w:szCs w:val="32"/>
          <w:lang w:val="en-US" w:eastAsia="zh-CN"/>
        </w:rPr>
        <w:t>.</w:t>
      </w:r>
      <w:r>
        <w:rPr>
          <w:rFonts w:hint="eastAsia" w:ascii="黑体" w:hAnsi="黑体" w:cs="Times New Roman"/>
          <w:bCs w:val="0"/>
          <w:kern w:val="0"/>
          <w:sz w:val="32"/>
          <w:szCs w:val="32"/>
          <w:lang w:val="en-US" w:eastAsia="zh-CN"/>
        </w:rPr>
        <w:t>6营</w:t>
      </w:r>
      <w:r>
        <w:rPr>
          <w:rFonts w:hint="eastAsia" w:ascii="黑体" w:hAnsi="黑体" w:eastAsia="黑体" w:cs="Times New Roman"/>
          <w:bCs w:val="0"/>
          <w:kern w:val="0"/>
          <w:sz w:val="32"/>
          <w:szCs w:val="32"/>
          <w:lang w:val="en-US" w:eastAsia="zh-CN"/>
        </w:rPr>
        <w:t>造林技术措施</w:t>
      </w:r>
      <w:bookmarkEnd w:id="264"/>
      <w:bookmarkEnd w:id="265"/>
      <w:bookmarkEnd w:id="266"/>
    </w:p>
    <w:p w14:paraId="390A94D8">
      <w:pPr>
        <w:pStyle w:val="4"/>
        <w:pageBreakBefore w:val="0"/>
        <w:widowControl w:val="0"/>
        <w:kinsoku/>
        <w:wordWrap/>
        <w:overflowPunct/>
        <w:topLinePunct w:val="0"/>
        <w:bidi w:val="0"/>
        <w:rPr>
          <w:rFonts w:hint="eastAsia" w:ascii="楷体" w:hAnsi="楷体" w:eastAsia="楷体" w:cs="楷体"/>
          <w:lang w:val="en-US" w:eastAsia="zh-CN"/>
        </w:rPr>
      </w:pPr>
      <w:r>
        <w:rPr>
          <w:rFonts w:hint="eastAsia" w:ascii="楷体" w:hAnsi="楷体" w:eastAsia="楷体" w:cs="楷体"/>
          <w:lang w:val="en-US" w:eastAsia="zh-CN"/>
        </w:rPr>
        <w:t>3.6.1</w:t>
      </w:r>
      <w:r>
        <w:rPr>
          <w:rFonts w:hint="eastAsia" w:ascii="楷体" w:hAnsi="楷体" w:cs="楷体"/>
          <w:lang w:val="en-US" w:eastAsia="zh-CN"/>
        </w:rPr>
        <w:t>营</w:t>
      </w:r>
      <w:r>
        <w:rPr>
          <w:rFonts w:hint="eastAsia" w:ascii="楷体" w:hAnsi="楷体" w:eastAsia="楷体" w:cs="楷体"/>
          <w:lang w:val="en-US" w:eastAsia="zh-CN"/>
        </w:rPr>
        <w:t>造林方式</w:t>
      </w:r>
    </w:p>
    <w:p w14:paraId="5BB00D4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267" w:name="_Toc32619"/>
      <w:bookmarkStart w:id="268" w:name="_Toc23526"/>
      <w:bookmarkStart w:id="269" w:name="_Toc2955"/>
      <w:bookmarkStart w:id="270" w:name="_Toc28419"/>
      <w:r>
        <w:rPr>
          <w:rFonts w:hint="eastAsia" w:ascii="Times New Roman" w:hAnsi="Times New Roman" w:eastAsia="仿宋_GB2312" w:cs="Times New Roman"/>
          <w:bCs/>
          <w:kern w:val="0"/>
          <w:sz w:val="28"/>
          <w:szCs w:val="28"/>
          <w:lang w:val="en-US" w:eastAsia="zh-CN"/>
        </w:rPr>
        <w:t>根据立地条件、树种、苗木规格等选用适宜的栽植方法，本项目选用2年生油茶容器苗进行植苗造林，具体栽植方法见3.6.6，采用穴植方法，种植穴按规范要求规格，种植行沿等高线走向。栽植时苗干应扶正，根系应舒展，深浅应适当，填土一半后提苗踩实，再填土踩实，最后覆上虚土。</w:t>
      </w:r>
      <w:bookmarkEnd w:id="267"/>
      <w:bookmarkEnd w:id="268"/>
      <w:bookmarkEnd w:id="269"/>
      <w:bookmarkEnd w:id="270"/>
    </w:p>
    <w:p w14:paraId="55B67EFD">
      <w:pPr>
        <w:pStyle w:val="4"/>
        <w:pageBreakBefore w:val="0"/>
        <w:widowControl w:val="0"/>
        <w:kinsoku/>
        <w:wordWrap/>
        <w:overflowPunct/>
        <w:topLinePunct w:val="0"/>
        <w:bidi w:val="0"/>
        <w:rPr>
          <w:rFonts w:hint="eastAsia" w:ascii="楷体" w:hAnsi="楷体" w:eastAsia="楷体" w:cs="楷体"/>
          <w:lang w:val="en-US" w:eastAsia="zh-CN"/>
        </w:rPr>
      </w:pPr>
      <w:r>
        <w:rPr>
          <w:rFonts w:hint="eastAsia" w:ascii="楷体" w:hAnsi="楷体" w:eastAsia="楷体" w:cs="楷体"/>
          <w:lang w:val="en-US" w:eastAsia="zh-CN"/>
        </w:rPr>
        <w:t>3.6.2林地清理</w:t>
      </w:r>
    </w:p>
    <w:p w14:paraId="1087C37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在造林前后的一段时间里，通过清理可增加直接投射到地面的透光度，还可以改变小地形，使透光度增加或减少。造林地的清理，是造林整地翻垦土壤前的第一道工序，本项目采用人工或机具全林地清理，把造林地上的灌木、杂草、竹类，以及采伐迹地上的枝丫、梢头、站秆、倒木、伐根等清除掉。全林地劈、割劈除非目的乔木、杂灌、草本、藤本，留茬高度≤10cm。将剩余物叶、皮和树根沿等高线呈带状平铺于种植带两侧的林地内，或填埋于条带的壕沟内。对于采伐的染病木等有害生物的林木、剩余物等，应按照“510清干净”等疫木处置相关规定，全部清理出林分，集中烧毁或深埋处理，彻底清除疫源。</w:t>
      </w:r>
    </w:p>
    <w:p w14:paraId="1CF1249E">
      <w:pPr>
        <w:pStyle w:val="4"/>
        <w:pageBreakBefore w:val="0"/>
        <w:widowControl w:val="0"/>
        <w:kinsoku/>
        <w:wordWrap/>
        <w:overflowPunct/>
        <w:topLinePunct w:val="0"/>
        <w:bidi w:val="0"/>
        <w:rPr>
          <w:rFonts w:hint="eastAsia" w:ascii="楷体" w:hAnsi="楷体" w:eastAsia="楷体" w:cs="楷体"/>
          <w:lang w:val="en-US" w:eastAsia="zh-CN"/>
        </w:rPr>
      </w:pPr>
      <w:r>
        <w:rPr>
          <w:rFonts w:hint="eastAsia" w:ascii="楷体" w:hAnsi="楷体" w:eastAsia="楷体" w:cs="楷体"/>
          <w:lang w:val="en-US" w:eastAsia="zh-CN"/>
        </w:rPr>
        <w:t>3.6.3造林整地</w:t>
      </w:r>
    </w:p>
    <w:p w14:paraId="3EE28FE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271" w:name="_Toc32043"/>
      <w:bookmarkStart w:id="272" w:name="_Toc10489"/>
      <w:bookmarkStart w:id="273" w:name="_Toc20106"/>
      <w:bookmarkStart w:id="274" w:name="_Toc8747"/>
      <w:r>
        <w:rPr>
          <w:rFonts w:hint="eastAsia" w:ascii="Times New Roman" w:hAnsi="Times New Roman" w:eastAsia="仿宋_GB2312" w:cs="Times New Roman"/>
          <w:bCs/>
          <w:kern w:val="0"/>
          <w:sz w:val="28"/>
          <w:szCs w:val="28"/>
          <w:lang w:val="en-US" w:eastAsia="zh-CN"/>
        </w:rPr>
        <w:t>整地能提高造林成活率，显著改善幼林的生长情况，根据造林地块的立地条件、林种、树种、造林方法及苗木规格，分为全面整地和局部整地，本项目采用局部整地中的带状和块状两种整地方式：</w:t>
      </w:r>
    </w:p>
    <w:p w14:paraId="12D960A7">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（1）带状整地</w:t>
      </w:r>
    </w:p>
    <w:p w14:paraId="3FC168C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适用坡度15°-25°的斜坡林地，按照“上挖下填、削高填低、大弯顺势、小弯取直”的原则，进行水平阶梯整地。带状整地过程做到随坡整地，坡缓则宽，坡陡则窄；前埂后沟，梯壁留草，反坡梯带；注意保留堤岸植被，避免水土流失。</w:t>
      </w:r>
    </w:p>
    <w:p w14:paraId="3004DD0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水平带宽4m，其中带面宽0.8-3m，护坡斜坡宽度1-3.2m，条带中挖宽60cm深50cm壕沟，将杂草、表土填入沟内，筑成外高内低梯土带，做到带面环山、等高、水平，带面外高内低。为方便机械化抚育作业与采收，有条件的地块将不同品种配置成双行（或以上）状间隔排列（带状）。</w:t>
      </w:r>
    </w:p>
    <w:p w14:paraId="28A57E8C">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（2）块状整地</w:t>
      </w:r>
    </w:p>
    <w:p w14:paraId="3911D79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在坡度较大（或局部坡度25度以上）、地形破碎的山地或沟谷地，采用块状整地。块状整地是按照造林规划的位置，在定植点周围翻松部分土壤以便栽植和提高造林成活率。整地规格1m×1m，翻耕土壤，清理出竹鞭、粗壮灌草藤根系、大石块。</w:t>
      </w:r>
    </w:p>
    <w:p w14:paraId="72CF721A">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eastAsia" w:ascii="楷体" w:hAnsi="楷体" w:eastAsia="楷体" w:cs="楷体"/>
          <w:color w:val="0000FF"/>
          <w:sz w:val="24"/>
          <w:szCs w:val="24"/>
          <w:lang w:val="en-US" w:eastAsia="zh-CN"/>
        </w:rPr>
      </w:pPr>
      <w:r>
        <w:drawing>
          <wp:inline distT="0" distB="0" distL="114300" distR="114300">
            <wp:extent cx="2520315" cy="2387600"/>
            <wp:effectExtent l="0" t="0" r="9525" b="508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32"/>
                    <a:stretch>
                      <a:fillRect/>
                    </a:stretch>
                  </pic:blipFill>
                  <pic:spPr>
                    <a:xfrm>
                      <a:off x="0" y="0"/>
                      <a:ext cx="2520315" cy="2387600"/>
                    </a:xfrm>
                    <a:prstGeom prst="rect">
                      <a:avLst/>
                    </a:prstGeom>
                    <a:noFill/>
                    <a:ln>
                      <a:noFill/>
                    </a:ln>
                  </pic:spPr>
                </pic:pic>
              </a:graphicData>
            </a:graphic>
          </wp:inline>
        </w:drawing>
      </w:r>
      <w:r>
        <w:drawing>
          <wp:inline distT="0" distB="0" distL="114300" distR="114300">
            <wp:extent cx="2101215" cy="2386965"/>
            <wp:effectExtent l="0" t="0" r="1905" b="5715"/>
            <wp:docPr id="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pic:cNvPicPr>
                      <a:picLocks noChangeAspect="1"/>
                    </pic:cNvPicPr>
                  </pic:nvPicPr>
                  <pic:blipFill>
                    <a:blip r:embed="rId33"/>
                    <a:srcRect/>
                    <a:stretch>
                      <a:fillRect/>
                    </a:stretch>
                  </pic:blipFill>
                  <pic:spPr>
                    <a:xfrm>
                      <a:off x="0" y="0"/>
                      <a:ext cx="2101215" cy="2386965"/>
                    </a:xfrm>
                    <a:prstGeom prst="rect">
                      <a:avLst/>
                    </a:prstGeom>
                    <a:noFill/>
                    <a:ln>
                      <a:noFill/>
                    </a:ln>
                  </pic:spPr>
                </pic:pic>
              </a:graphicData>
            </a:graphic>
          </wp:inline>
        </w:drawing>
      </w:r>
    </w:p>
    <w:p w14:paraId="37CA1D9A">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default" w:ascii="楷体" w:hAnsi="楷体" w:eastAsia="楷体" w:cs="楷体"/>
          <w:b/>
          <w:bCs/>
          <w:color w:val="0000FF"/>
          <w:sz w:val="24"/>
          <w:szCs w:val="24"/>
          <w:lang w:val="en-US" w:eastAsia="zh-CN"/>
        </w:rPr>
      </w:pPr>
      <w:r>
        <w:rPr>
          <w:rFonts w:hint="eastAsia" w:ascii="楷体" w:hAnsi="楷体" w:eastAsia="楷体" w:cs="楷体"/>
          <w:b/>
          <w:bCs/>
          <w:color w:val="0000FF"/>
          <w:sz w:val="24"/>
          <w:szCs w:val="24"/>
          <w:lang w:val="en-US" w:eastAsia="zh-CN"/>
        </w:rPr>
        <w:t>图3-1 带状及块状整地图示</w:t>
      </w:r>
    </w:p>
    <w:bookmarkEnd w:id="271"/>
    <w:bookmarkEnd w:id="272"/>
    <w:bookmarkEnd w:id="273"/>
    <w:bookmarkEnd w:id="274"/>
    <w:p w14:paraId="2B5FBDFB">
      <w:pPr>
        <w:pStyle w:val="4"/>
        <w:pageBreakBefore w:val="0"/>
        <w:widowControl w:val="0"/>
        <w:kinsoku/>
        <w:wordWrap/>
        <w:overflowPunct/>
        <w:topLinePunct w:val="0"/>
        <w:bidi w:val="0"/>
        <w:rPr>
          <w:rFonts w:hint="eastAsia" w:ascii="楷体" w:hAnsi="楷体" w:eastAsia="楷体" w:cs="楷体"/>
          <w:lang w:val="en-US" w:eastAsia="zh-CN"/>
        </w:rPr>
      </w:pPr>
      <w:r>
        <w:rPr>
          <w:rFonts w:hint="eastAsia" w:ascii="楷体" w:hAnsi="楷体" w:eastAsia="楷体" w:cs="楷体"/>
          <w:lang w:val="en-US" w:eastAsia="zh-CN"/>
        </w:rPr>
        <w:t>3.6.4造林季节</w:t>
      </w:r>
    </w:p>
    <w:p w14:paraId="032007C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275" w:name="_Toc28161"/>
      <w:bookmarkStart w:id="276" w:name="_Toc27105"/>
      <w:bookmarkStart w:id="277" w:name="_Toc19661"/>
      <w:bookmarkStart w:id="278" w:name="_Toc5399"/>
      <w:r>
        <w:rPr>
          <w:rFonts w:hint="eastAsia" w:ascii="Times New Roman" w:hAnsi="Times New Roman" w:eastAsia="仿宋_GB2312" w:cs="Times New Roman"/>
          <w:bCs/>
          <w:kern w:val="0"/>
          <w:sz w:val="28"/>
          <w:szCs w:val="28"/>
          <w:lang w:val="en-US" w:eastAsia="zh-CN"/>
        </w:rPr>
        <w:t>根据项目进度要求，本项目造林时间为1月-3月。</w:t>
      </w:r>
      <w:bookmarkEnd w:id="275"/>
      <w:bookmarkEnd w:id="276"/>
      <w:bookmarkEnd w:id="277"/>
      <w:bookmarkEnd w:id="278"/>
    </w:p>
    <w:p w14:paraId="74E095D9">
      <w:pPr>
        <w:pStyle w:val="4"/>
        <w:pageBreakBefore w:val="0"/>
        <w:widowControl w:val="0"/>
        <w:kinsoku/>
        <w:wordWrap/>
        <w:overflowPunct/>
        <w:topLinePunct w:val="0"/>
        <w:bidi w:val="0"/>
        <w:rPr>
          <w:rFonts w:hint="eastAsia" w:ascii="楷体" w:hAnsi="楷体" w:eastAsia="楷体" w:cs="楷体"/>
          <w:strike w:val="0"/>
          <w:dstrike w:val="0"/>
          <w:lang w:val="en-US" w:eastAsia="zh-CN"/>
        </w:rPr>
      </w:pPr>
      <w:r>
        <w:rPr>
          <w:rFonts w:hint="eastAsia" w:ascii="楷体" w:hAnsi="楷体" w:eastAsia="楷体" w:cs="楷体"/>
          <w:strike w:val="0"/>
          <w:dstrike w:val="0"/>
          <w:lang w:val="en-US" w:eastAsia="zh-CN"/>
        </w:rPr>
        <w:t>3.6.</w:t>
      </w:r>
      <w:r>
        <w:rPr>
          <w:rFonts w:hint="eastAsia" w:ascii="楷体" w:hAnsi="楷体" w:cs="楷体"/>
          <w:strike w:val="0"/>
          <w:dstrike w:val="0"/>
          <w:lang w:val="en-US" w:eastAsia="zh-CN"/>
        </w:rPr>
        <w:t>5</w:t>
      </w:r>
      <w:r>
        <w:rPr>
          <w:rFonts w:hint="eastAsia" w:ascii="楷体" w:hAnsi="楷体" w:eastAsia="楷体" w:cs="楷体"/>
          <w:strike w:val="0"/>
          <w:dstrike w:val="0"/>
          <w:lang w:val="en-US" w:eastAsia="zh-CN"/>
        </w:rPr>
        <w:t>混交方式</w:t>
      </w:r>
    </w:p>
    <w:p w14:paraId="3188ED7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strike w:val="0"/>
          <w:dstrike w:val="0"/>
          <w:kern w:val="0"/>
          <w:sz w:val="28"/>
          <w:szCs w:val="28"/>
          <w:lang w:val="en-US" w:eastAsia="zh-CN"/>
        </w:rPr>
      </w:pPr>
      <w:bookmarkStart w:id="279" w:name="_Toc16699"/>
      <w:bookmarkStart w:id="280" w:name="_Toc29940"/>
      <w:bookmarkStart w:id="281" w:name="_Toc4021"/>
      <w:bookmarkStart w:id="282" w:name="_Toc10930"/>
      <w:r>
        <w:rPr>
          <w:rFonts w:hint="eastAsia" w:ascii="Times New Roman" w:hAnsi="Times New Roman" w:eastAsia="仿宋_GB2312" w:cs="Times New Roman"/>
          <w:bCs/>
          <w:strike w:val="0"/>
          <w:dstrike w:val="0"/>
          <w:kern w:val="0"/>
          <w:sz w:val="28"/>
          <w:szCs w:val="28"/>
          <w:lang w:val="en-US" w:eastAsia="zh-CN"/>
        </w:rPr>
        <w:t>为方便机械化抚育作业与采收采用带状混交，有条件的地块将不同品种配置成双行（或以上）状间隔排列（带状），每个品种栽植一行以上，长林53号、长林40号、长林4号混交比例为2:1:1，并做好品种标记。</w:t>
      </w:r>
      <w:bookmarkEnd w:id="279"/>
      <w:bookmarkEnd w:id="280"/>
      <w:bookmarkEnd w:id="281"/>
      <w:bookmarkEnd w:id="282"/>
    </w:p>
    <w:p w14:paraId="2D069AF1">
      <w:pPr>
        <w:pStyle w:val="4"/>
        <w:pageBreakBefore w:val="0"/>
        <w:widowControl w:val="0"/>
        <w:kinsoku/>
        <w:wordWrap/>
        <w:overflowPunct/>
        <w:topLinePunct w:val="0"/>
        <w:bidi w:val="0"/>
        <w:rPr>
          <w:rFonts w:hint="default" w:ascii="楷体" w:hAnsi="楷体" w:eastAsia="楷体" w:cs="楷体"/>
          <w:lang w:val="en-US" w:eastAsia="zh-CN"/>
        </w:rPr>
      </w:pPr>
      <w:r>
        <w:rPr>
          <w:rFonts w:hint="eastAsia" w:ascii="楷体" w:hAnsi="楷体" w:eastAsia="楷体" w:cs="楷体"/>
          <w:lang w:val="en-US" w:eastAsia="zh-CN"/>
        </w:rPr>
        <w:t>3.6.</w:t>
      </w:r>
      <w:r>
        <w:rPr>
          <w:rFonts w:hint="eastAsia" w:ascii="楷体" w:hAnsi="楷体" w:cs="楷体"/>
          <w:lang w:val="en-US" w:eastAsia="zh-CN"/>
        </w:rPr>
        <w:t>6</w:t>
      </w:r>
      <w:r>
        <w:rPr>
          <w:rFonts w:hint="eastAsia" w:ascii="楷体" w:hAnsi="楷体" w:eastAsia="楷体" w:cs="楷体"/>
          <w:lang w:val="en-US" w:eastAsia="zh-CN"/>
        </w:rPr>
        <w:t>栽植方法</w:t>
      </w:r>
    </w:p>
    <w:p w14:paraId="63D09978">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bookmarkStart w:id="283" w:name="_Toc22622"/>
      <w:bookmarkStart w:id="284" w:name="_Toc15065"/>
      <w:bookmarkStart w:id="285" w:name="_Toc14947"/>
      <w:bookmarkStart w:id="286" w:name="_Toc7775"/>
      <w:r>
        <w:rPr>
          <w:rFonts w:hint="eastAsia" w:ascii="Times New Roman" w:hAnsi="Times New Roman" w:eastAsia="仿宋_GB2312" w:cs="Times New Roman"/>
          <w:b/>
          <w:bCs w:val="0"/>
          <w:kern w:val="0"/>
          <w:sz w:val="28"/>
          <w:szCs w:val="28"/>
          <w:lang w:val="en-US" w:eastAsia="zh-CN"/>
        </w:rPr>
        <w:t>（1）挖穴施基肥</w:t>
      </w:r>
      <w:bookmarkEnd w:id="283"/>
      <w:bookmarkEnd w:id="284"/>
      <w:bookmarkEnd w:id="285"/>
      <w:bookmarkEnd w:id="286"/>
    </w:p>
    <w:p w14:paraId="368D38D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287" w:name="_Toc21500"/>
      <w:bookmarkStart w:id="288" w:name="_Toc10861"/>
      <w:bookmarkStart w:id="289" w:name="_Toc15068"/>
      <w:bookmarkStart w:id="290" w:name="_Toc13825"/>
      <w:r>
        <w:rPr>
          <w:rFonts w:hint="eastAsia" w:ascii="Times New Roman" w:hAnsi="Times New Roman" w:eastAsia="仿宋_GB2312" w:cs="Times New Roman"/>
          <w:bCs/>
          <w:kern w:val="0"/>
          <w:sz w:val="28"/>
          <w:szCs w:val="28"/>
          <w:lang w:val="en-US" w:eastAsia="zh-CN"/>
        </w:rPr>
        <w:t>按照规划栽植密度定点挖穴，规格60×60×60cm以上。穴内施，每穴商品有机肥5kg，再加钙镁磷肥或复合肥0.5kg。种植前将基肥施于穴底与土拌匀，然后回填表土，严禁将树根、石块填入穴内。</w:t>
      </w:r>
      <w:bookmarkEnd w:id="287"/>
      <w:bookmarkEnd w:id="288"/>
      <w:bookmarkEnd w:id="289"/>
      <w:bookmarkEnd w:id="290"/>
    </w:p>
    <w:p w14:paraId="48363D97">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bookmarkStart w:id="291" w:name="_Toc24093"/>
      <w:bookmarkStart w:id="292" w:name="_Toc23626"/>
      <w:bookmarkStart w:id="293" w:name="_Toc539"/>
      <w:bookmarkStart w:id="294" w:name="_Toc24522"/>
      <w:r>
        <w:rPr>
          <w:rFonts w:hint="eastAsia" w:ascii="Times New Roman" w:hAnsi="Times New Roman" w:eastAsia="仿宋_GB2312" w:cs="Times New Roman"/>
          <w:b/>
          <w:bCs w:val="0"/>
          <w:kern w:val="0"/>
          <w:sz w:val="28"/>
          <w:szCs w:val="28"/>
          <w:lang w:val="en-US" w:eastAsia="zh-CN"/>
        </w:rPr>
        <w:t>（2）栽植</w:t>
      </w:r>
      <w:bookmarkEnd w:id="291"/>
      <w:bookmarkEnd w:id="292"/>
      <w:bookmarkEnd w:id="293"/>
      <w:bookmarkEnd w:id="294"/>
    </w:p>
    <w:p w14:paraId="1E124AF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295" w:name="_Toc22316"/>
      <w:bookmarkStart w:id="296" w:name="_Toc7937"/>
      <w:bookmarkStart w:id="297" w:name="_Toc3042"/>
      <w:bookmarkStart w:id="298" w:name="_Toc14557"/>
      <w:r>
        <w:rPr>
          <w:rFonts w:hint="eastAsia" w:ascii="Times New Roman" w:hAnsi="Times New Roman" w:eastAsia="仿宋_GB2312" w:cs="Times New Roman"/>
          <w:bCs/>
          <w:kern w:val="0"/>
          <w:sz w:val="28"/>
          <w:szCs w:val="28"/>
          <w:lang w:val="en-US" w:eastAsia="zh-CN"/>
        </w:rPr>
        <w:t>雨季阴雨天或下透雨后造林，做到随起苗随造林，土壤干燥无法保证成活时不宜栽植。苗木远距离运输过程中应注意保湿；种植时避免苗根直接与基肥接触，定植后，有条件的应浇透定根水；栽苗量较大时，栽植不完的苗木应开沟假植。容器苗种植时先去掉容器袋；裸根苗造林，应打泥浆。将苗木放入穴中央，嫁接口与土面齐平，扶正，回填土后从周边向苗木方向压实使土与苗木紧密结合，不可向下挤压伤苗茎根系，为保证成活率，可根据实际情况覆盖1m×1m的可降解地膜，最后培蔸覆盖表土5cm左右呈馒头状。</w:t>
      </w:r>
      <w:bookmarkEnd w:id="295"/>
      <w:bookmarkEnd w:id="296"/>
      <w:bookmarkEnd w:id="297"/>
      <w:bookmarkEnd w:id="298"/>
    </w:p>
    <w:p w14:paraId="67462BDC">
      <w:pPr>
        <w:pStyle w:val="29"/>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highlight w:val="none"/>
        </w:rPr>
      </w:pPr>
      <w:r>
        <w:drawing>
          <wp:inline distT="0" distB="0" distL="114300" distR="114300">
            <wp:extent cx="1316355" cy="2411730"/>
            <wp:effectExtent l="0" t="0" r="9525" b="1143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34"/>
                    <a:srcRect b="9008"/>
                    <a:stretch>
                      <a:fillRect/>
                    </a:stretch>
                  </pic:blipFill>
                  <pic:spPr>
                    <a:xfrm>
                      <a:off x="0" y="0"/>
                      <a:ext cx="1316355" cy="2411730"/>
                    </a:xfrm>
                    <a:prstGeom prst="rect">
                      <a:avLst/>
                    </a:prstGeom>
                    <a:noFill/>
                    <a:ln>
                      <a:noFill/>
                    </a:ln>
                  </pic:spPr>
                </pic:pic>
              </a:graphicData>
            </a:graphic>
          </wp:inline>
        </w:drawing>
      </w:r>
      <w:r>
        <w:rPr>
          <w:rFonts w:hint="eastAsia" w:eastAsia="宋体"/>
          <w:lang w:val="en-US" w:eastAsia="zh-CN"/>
        </w:rPr>
        <w:t xml:space="preserve"> </w:t>
      </w:r>
      <w:r>
        <w:rPr>
          <w:highlight w:val="none"/>
        </w:rPr>
        <w:drawing>
          <wp:inline distT="0" distB="0" distL="114300" distR="114300">
            <wp:extent cx="1671320" cy="2411730"/>
            <wp:effectExtent l="0" t="0" r="5080" b="11430"/>
            <wp:docPr id="3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
                    <pic:cNvPicPr>
                      <a:picLocks noChangeAspect="1"/>
                    </pic:cNvPicPr>
                  </pic:nvPicPr>
                  <pic:blipFill>
                    <a:blip r:embed="rId35"/>
                    <a:srcRect l="12992"/>
                    <a:stretch>
                      <a:fillRect/>
                    </a:stretch>
                  </pic:blipFill>
                  <pic:spPr>
                    <a:xfrm>
                      <a:off x="0" y="0"/>
                      <a:ext cx="1671320" cy="2411730"/>
                    </a:xfrm>
                    <a:prstGeom prst="rect">
                      <a:avLst/>
                    </a:prstGeom>
                    <a:noFill/>
                    <a:ln>
                      <a:noFill/>
                    </a:ln>
                  </pic:spPr>
                </pic:pic>
              </a:graphicData>
            </a:graphic>
          </wp:inline>
        </w:drawing>
      </w:r>
      <w:r>
        <w:rPr>
          <w:rFonts w:hint="eastAsia" w:eastAsia="宋体"/>
          <w:highlight w:val="none"/>
          <w:lang w:val="en-US" w:eastAsia="zh-CN"/>
        </w:rPr>
        <w:t xml:space="preserve"> </w:t>
      </w:r>
      <w:r>
        <w:rPr>
          <w:highlight w:val="none"/>
        </w:rPr>
        <w:drawing>
          <wp:inline distT="0" distB="0" distL="114300" distR="114300">
            <wp:extent cx="1851025" cy="2229485"/>
            <wp:effectExtent l="0" t="0" r="8255" b="10795"/>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36"/>
                    <a:srcRect l="9318" r="4997"/>
                    <a:stretch>
                      <a:fillRect/>
                    </a:stretch>
                  </pic:blipFill>
                  <pic:spPr>
                    <a:xfrm>
                      <a:off x="0" y="0"/>
                      <a:ext cx="1851025" cy="2229485"/>
                    </a:xfrm>
                    <a:prstGeom prst="rect">
                      <a:avLst/>
                    </a:prstGeom>
                    <a:noFill/>
                    <a:ln>
                      <a:noFill/>
                    </a:ln>
                  </pic:spPr>
                </pic:pic>
              </a:graphicData>
            </a:graphic>
          </wp:inline>
        </w:drawing>
      </w:r>
    </w:p>
    <w:p w14:paraId="6E78A604">
      <w:pPr>
        <w:pStyle w:val="29"/>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楷体" w:hAnsi="楷体" w:eastAsia="楷体" w:cs="楷体"/>
          <w:b/>
          <w:bCs/>
          <w:color w:val="0000FF"/>
          <w:sz w:val="24"/>
          <w:szCs w:val="24"/>
          <w:lang w:val="en-US" w:eastAsia="zh-CN"/>
        </w:rPr>
      </w:pPr>
      <w:r>
        <w:rPr>
          <w:rFonts w:hint="eastAsia" w:ascii="楷体" w:hAnsi="楷体" w:eastAsia="楷体" w:cs="楷体"/>
          <w:b/>
          <w:bCs/>
          <w:color w:val="0000FF"/>
          <w:sz w:val="24"/>
          <w:szCs w:val="24"/>
          <w:lang w:val="en-US" w:eastAsia="zh-CN"/>
        </w:rPr>
        <w:t>图3-2 油茶栽植图示</w:t>
      </w:r>
    </w:p>
    <w:p w14:paraId="220775F9">
      <w:pPr>
        <w:pStyle w:val="4"/>
        <w:pageBreakBefore w:val="0"/>
        <w:widowControl w:val="0"/>
        <w:kinsoku/>
        <w:wordWrap/>
        <w:overflowPunct/>
        <w:topLinePunct w:val="0"/>
        <w:bidi w:val="0"/>
        <w:rPr>
          <w:rFonts w:hint="eastAsia" w:ascii="楷体" w:hAnsi="楷体" w:eastAsia="楷体" w:cs="楷体"/>
          <w:lang w:val="en-US" w:eastAsia="zh-CN"/>
        </w:rPr>
      </w:pPr>
      <w:r>
        <w:rPr>
          <w:rFonts w:hint="eastAsia" w:ascii="楷体" w:hAnsi="楷体" w:eastAsia="楷体" w:cs="楷体"/>
          <w:lang w:val="en-US" w:eastAsia="zh-CN"/>
        </w:rPr>
        <w:t>3.6.</w:t>
      </w:r>
      <w:r>
        <w:rPr>
          <w:rFonts w:hint="eastAsia" w:ascii="楷体" w:hAnsi="楷体" w:cs="楷体"/>
          <w:lang w:val="en-US" w:eastAsia="zh-CN"/>
        </w:rPr>
        <w:t>7</w:t>
      </w:r>
      <w:r>
        <w:rPr>
          <w:rFonts w:hint="eastAsia" w:ascii="楷体" w:hAnsi="楷体" w:eastAsia="楷体" w:cs="楷体"/>
          <w:lang w:val="en-US" w:eastAsia="zh-CN"/>
        </w:rPr>
        <w:t>植被保护</w:t>
      </w:r>
    </w:p>
    <w:p w14:paraId="6E59E7E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299" w:name="_Toc23262"/>
      <w:bookmarkStart w:id="300" w:name="_Toc6493"/>
      <w:bookmarkStart w:id="301" w:name="_Toc19410"/>
      <w:bookmarkStart w:id="302" w:name="_Toc6083"/>
      <w:r>
        <w:rPr>
          <w:rFonts w:hint="eastAsia" w:ascii="Times New Roman" w:hAnsi="Times New Roman" w:eastAsia="仿宋_GB2312" w:cs="Times New Roman"/>
          <w:bCs/>
          <w:kern w:val="0"/>
          <w:sz w:val="28"/>
          <w:szCs w:val="28"/>
          <w:lang w:val="en-US" w:eastAsia="zh-CN"/>
        </w:rPr>
        <w:t>整地过程中要注重对原生植被的保护，带状整地避免开挖水平带外堤岸植被，根据坡度大小控制水平带宽，块状整地严格控制开挖范围。禁止滥采乱挖原有林木，严格保护造林地的珍稀濒危树种、古树名木。在林地清理、未成林地抚育作业中，严格保留珍稀树种苗木和林木，为珍稀濒危树种的母树下种提供条件。</w:t>
      </w:r>
      <w:bookmarkEnd w:id="299"/>
      <w:bookmarkEnd w:id="300"/>
      <w:bookmarkEnd w:id="301"/>
      <w:bookmarkEnd w:id="302"/>
    </w:p>
    <w:p w14:paraId="7511B2D9">
      <w:pPr>
        <w:pStyle w:val="4"/>
        <w:pageBreakBefore w:val="0"/>
        <w:widowControl w:val="0"/>
        <w:kinsoku/>
        <w:wordWrap/>
        <w:overflowPunct/>
        <w:topLinePunct w:val="0"/>
        <w:bidi w:val="0"/>
        <w:rPr>
          <w:rFonts w:hint="eastAsia" w:ascii="楷体" w:hAnsi="楷体" w:eastAsia="楷体" w:cs="楷体"/>
          <w:lang w:val="en-US" w:eastAsia="zh-CN"/>
        </w:rPr>
      </w:pPr>
      <w:r>
        <w:rPr>
          <w:rFonts w:hint="eastAsia" w:ascii="楷体" w:hAnsi="楷体" w:eastAsia="楷体" w:cs="楷体"/>
          <w:lang w:val="en-US" w:eastAsia="zh-CN"/>
        </w:rPr>
        <w:t>3.6.</w:t>
      </w:r>
      <w:r>
        <w:rPr>
          <w:rFonts w:hint="eastAsia" w:ascii="楷体" w:hAnsi="楷体" w:cs="楷体"/>
          <w:lang w:val="en-US" w:eastAsia="zh-CN"/>
        </w:rPr>
        <w:t>8</w:t>
      </w:r>
      <w:r>
        <w:rPr>
          <w:rFonts w:hint="eastAsia" w:ascii="楷体" w:hAnsi="楷体" w:eastAsia="楷体" w:cs="楷体"/>
          <w:lang w:val="en-US" w:eastAsia="zh-CN"/>
        </w:rPr>
        <w:t>幼林抚育</w:t>
      </w:r>
    </w:p>
    <w:p w14:paraId="6FAC267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303" w:name="_Toc20783"/>
      <w:bookmarkStart w:id="304" w:name="_Toc10573"/>
      <w:bookmarkStart w:id="305" w:name="_Toc3304"/>
      <w:bookmarkStart w:id="306" w:name="_Toc27337"/>
      <w:r>
        <w:rPr>
          <w:rFonts w:hint="eastAsia" w:ascii="Times New Roman" w:hAnsi="Times New Roman" w:eastAsia="仿宋_GB2312" w:cs="Times New Roman"/>
          <w:bCs/>
          <w:kern w:val="0"/>
          <w:sz w:val="28"/>
          <w:szCs w:val="28"/>
          <w:lang w:val="en-US" w:eastAsia="zh-CN"/>
        </w:rPr>
        <w:t>本项目营造林后连续抚育4年，具体如下：</w:t>
      </w:r>
      <w:bookmarkEnd w:id="303"/>
      <w:bookmarkEnd w:id="304"/>
      <w:bookmarkEnd w:id="305"/>
      <w:bookmarkEnd w:id="306"/>
    </w:p>
    <w:p w14:paraId="05D70098">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bookmarkStart w:id="307" w:name="_Toc2045"/>
      <w:bookmarkStart w:id="308" w:name="_Toc1146"/>
      <w:bookmarkStart w:id="309" w:name="_Toc4827"/>
      <w:bookmarkStart w:id="310" w:name="_Toc10750"/>
      <w:r>
        <w:rPr>
          <w:rFonts w:hint="eastAsia" w:ascii="Times New Roman" w:hAnsi="Times New Roman" w:eastAsia="仿宋_GB2312" w:cs="Times New Roman"/>
          <w:b/>
          <w:bCs w:val="0"/>
          <w:kern w:val="0"/>
          <w:sz w:val="28"/>
          <w:szCs w:val="28"/>
          <w:lang w:val="en-US" w:eastAsia="zh-CN"/>
        </w:rPr>
        <w:t>（1）幼林土肥水管理</w:t>
      </w:r>
      <w:bookmarkEnd w:id="307"/>
      <w:bookmarkEnd w:id="308"/>
      <w:bookmarkEnd w:id="309"/>
      <w:bookmarkEnd w:id="310"/>
    </w:p>
    <w:p w14:paraId="356783F3">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bookmarkStart w:id="311" w:name="_Toc28037"/>
      <w:bookmarkStart w:id="312" w:name="_Toc27795"/>
      <w:bookmarkStart w:id="313" w:name="_Toc24897"/>
      <w:bookmarkStart w:id="314" w:name="_Toc15462"/>
      <w:r>
        <w:rPr>
          <w:rFonts w:hint="eastAsia" w:ascii="Times New Roman" w:hAnsi="Times New Roman" w:eastAsia="仿宋_GB2312" w:cs="Times New Roman"/>
          <w:b/>
          <w:bCs w:val="0"/>
          <w:kern w:val="0"/>
          <w:sz w:val="28"/>
          <w:szCs w:val="28"/>
          <w:lang w:val="en-US" w:eastAsia="zh-CN"/>
        </w:rPr>
        <w:t>1）抚育除草</w:t>
      </w:r>
      <w:bookmarkEnd w:id="311"/>
      <w:bookmarkEnd w:id="312"/>
      <w:bookmarkEnd w:id="313"/>
      <w:bookmarkEnd w:id="314"/>
    </w:p>
    <w:p w14:paraId="6C2B150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315" w:name="_Toc26358"/>
      <w:bookmarkStart w:id="316" w:name="_Toc32683"/>
      <w:bookmarkStart w:id="317" w:name="_Toc24835"/>
      <w:bookmarkStart w:id="318" w:name="_Toc5574"/>
      <w:r>
        <w:rPr>
          <w:rFonts w:hint="eastAsia" w:ascii="Times New Roman" w:hAnsi="Times New Roman" w:eastAsia="仿宋_GB2312" w:cs="Times New Roman"/>
          <w:bCs/>
          <w:kern w:val="0"/>
          <w:sz w:val="28"/>
          <w:szCs w:val="28"/>
          <w:lang w:val="en-US" w:eastAsia="zh-CN"/>
        </w:rPr>
        <w:t>幼林每年2次，每年5月底前和秋季9月以后各抚育除草1次。对新造林抚育时，在油茶树四周20cm以内只松碎表土除草，不翻动根际土壤；靠近油茶树体的杂草用手拔除，宜采用以草抑草或盖防草布等方式控草。平时园中有藤类、芒杆及小树等及早清除。</w:t>
      </w:r>
      <w:bookmarkEnd w:id="315"/>
      <w:bookmarkEnd w:id="316"/>
      <w:bookmarkEnd w:id="317"/>
      <w:bookmarkEnd w:id="318"/>
    </w:p>
    <w:p w14:paraId="3D5AB39E">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bookmarkStart w:id="319" w:name="_Toc7996"/>
      <w:bookmarkStart w:id="320" w:name="_Toc3306"/>
      <w:bookmarkStart w:id="321" w:name="_Toc29201"/>
      <w:bookmarkStart w:id="322" w:name="_Toc5584"/>
      <w:r>
        <w:rPr>
          <w:rFonts w:hint="eastAsia" w:ascii="Times New Roman" w:hAnsi="Times New Roman" w:eastAsia="仿宋_GB2312" w:cs="Times New Roman"/>
          <w:b/>
          <w:bCs w:val="0"/>
          <w:kern w:val="0"/>
          <w:sz w:val="28"/>
          <w:szCs w:val="28"/>
          <w:lang w:val="en-US" w:eastAsia="zh-CN"/>
        </w:rPr>
        <w:t>2）补植</w:t>
      </w:r>
    </w:p>
    <w:p w14:paraId="0420834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造林后2～3个月，对造林地进行一次全面的造林成活检查，登记小班成活率和空缺苗数，选用同规格苗木进行补植，保证成活及保存株数不低于56株/亩。</w:t>
      </w:r>
    </w:p>
    <w:p w14:paraId="7A9F7FB7">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highlight w:val="none"/>
          <w:lang w:val="en-US" w:eastAsia="zh-CN"/>
        </w:rPr>
      </w:pPr>
      <w:r>
        <w:rPr>
          <w:rFonts w:hint="eastAsia" w:ascii="Times New Roman" w:hAnsi="Times New Roman" w:eastAsia="仿宋_GB2312" w:cs="Times New Roman"/>
          <w:b/>
          <w:bCs w:val="0"/>
          <w:kern w:val="0"/>
          <w:sz w:val="28"/>
          <w:szCs w:val="28"/>
          <w:highlight w:val="none"/>
          <w:lang w:val="en-US" w:eastAsia="zh-CN"/>
        </w:rPr>
        <w:t>3）培蔸</w:t>
      </w:r>
      <w:bookmarkEnd w:id="319"/>
      <w:bookmarkEnd w:id="320"/>
      <w:bookmarkEnd w:id="321"/>
      <w:bookmarkEnd w:id="322"/>
    </w:p>
    <w:p w14:paraId="685564E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highlight w:val="none"/>
          <w:lang w:val="en-US" w:eastAsia="zh-CN"/>
        </w:rPr>
      </w:pPr>
      <w:bookmarkStart w:id="323" w:name="_Toc18736"/>
      <w:bookmarkStart w:id="324" w:name="_Toc5184"/>
      <w:bookmarkStart w:id="325" w:name="_Toc30559"/>
      <w:bookmarkStart w:id="326" w:name="_Toc13562"/>
      <w:r>
        <w:rPr>
          <w:rFonts w:hint="eastAsia" w:ascii="Times New Roman" w:hAnsi="Times New Roman" w:eastAsia="仿宋_GB2312" w:cs="Times New Roman"/>
          <w:bCs/>
          <w:kern w:val="0"/>
          <w:sz w:val="28"/>
          <w:szCs w:val="28"/>
          <w:highlight w:val="none"/>
          <w:lang w:val="en-US" w:eastAsia="zh-CN"/>
        </w:rPr>
        <w:t>种植后每年进行培蔸，结合除草进行深翻土壤，沿树冠深挖，深度20-25cm，范围以树冠投影为准。有条件的林地可采用机械翻耕。前两年抚育管理以油茶树为中心，逐步将穴扩成（1×1）m小平台；后期抚育管理将同高度小平台修通，形成1m宽人工水平带面。</w:t>
      </w:r>
      <w:bookmarkEnd w:id="323"/>
      <w:bookmarkEnd w:id="324"/>
      <w:bookmarkEnd w:id="325"/>
      <w:bookmarkEnd w:id="326"/>
    </w:p>
    <w:p w14:paraId="52AB2F62">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bookmarkStart w:id="327" w:name="_Toc30555"/>
      <w:bookmarkStart w:id="328" w:name="_Toc23325"/>
      <w:bookmarkStart w:id="329" w:name="_Toc20815"/>
      <w:bookmarkStart w:id="330" w:name="_Toc1649"/>
      <w:r>
        <w:rPr>
          <w:rFonts w:hint="eastAsia" w:ascii="Times New Roman" w:hAnsi="Times New Roman" w:eastAsia="仿宋_GB2312" w:cs="Times New Roman"/>
          <w:b/>
          <w:bCs w:val="0"/>
          <w:kern w:val="0"/>
          <w:sz w:val="28"/>
          <w:szCs w:val="28"/>
          <w:lang w:val="en-US" w:eastAsia="zh-CN"/>
        </w:rPr>
        <w:t>4）施肥</w:t>
      </w:r>
      <w:bookmarkEnd w:id="327"/>
      <w:bookmarkEnd w:id="328"/>
      <w:bookmarkEnd w:id="329"/>
      <w:bookmarkEnd w:id="330"/>
    </w:p>
    <w:p w14:paraId="66B70D5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331" w:name="_Toc29864"/>
      <w:bookmarkStart w:id="332" w:name="_Toc3619"/>
      <w:bookmarkStart w:id="333" w:name="_Toc20053"/>
      <w:bookmarkStart w:id="334" w:name="_Toc1843"/>
      <w:r>
        <w:rPr>
          <w:rFonts w:hint="eastAsia" w:ascii="Times New Roman" w:hAnsi="Times New Roman" w:eastAsia="仿宋_GB2312" w:cs="Times New Roman"/>
          <w:bCs/>
          <w:kern w:val="0"/>
          <w:sz w:val="28"/>
          <w:szCs w:val="28"/>
          <w:lang w:val="en-US" w:eastAsia="zh-CN"/>
        </w:rPr>
        <w:t>油茶幼林期以营养生长为主，促进幼树快速成长。施肥则以氮肥为主，配合磷、钾肥，促进春、夏、秋梢的生长，随着树龄的增大，施肥量要逐年增加，可利用水肥一体化设施进行施肥。</w:t>
      </w:r>
      <w:bookmarkEnd w:id="331"/>
      <w:bookmarkEnd w:id="332"/>
      <w:bookmarkEnd w:id="333"/>
      <w:bookmarkEnd w:id="334"/>
    </w:p>
    <w:p w14:paraId="54677906">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strike/>
          <w:dstrike w:val="0"/>
          <w:kern w:val="0"/>
          <w:sz w:val="28"/>
          <w:szCs w:val="28"/>
          <w:lang w:val="en-US" w:eastAsia="zh-CN"/>
        </w:rPr>
      </w:pPr>
      <w:bookmarkStart w:id="335" w:name="_Toc12871"/>
      <w:bookmarkStart w:id="336" w:name="_Toc25273"/>
      <w:bookmarkStart w:id="337" w:name="_Toc6707"/>
      <w:r>
        <w:rPr>
          <w:rFonts w:hint="eastAsia" w:ascii="Times New Roman" w:hAnsi="Times New Roman" w:eastAsia="仿宋_GB2312" w:cs="Times New Roman"/>
          <w:bCs/>
          <w:kern w:val="0"/>
          <w:sz w:val="28"/>
          <w:szCs w:val="28"/>
          <w:lang w:val="en-US" w:eastAsia="zh-CN"/>
        </w:rPr>
        <w:t>栽植当年5月以施氨肥为主的复合肥。第2年起每年3月～4月施复合肥，每3年施有机肥1次</w:t>
      </w:r>
      <w:bookmarkEnd w:id="335"/>
      <w:bookmarkEnd w:id="336"/>
      <w:bookmarkEnd w:id="337"/>
      <w:r>
        <w:rPr>
          <w:rFonts w:hint="eastAsia" w:ascii="Times New Roman" w:hAnsi="Times New Roman" w:eastAsia="仿宋_GB2312" w:cs="Times New Roman"/>
          <w:bCs/>
          <w:strike w:val="0"/>
          <w:dstrike w:val="0"/>
          <w:kern w:val="0"/>
          <w:sz w:val="28"/>
          <w:szCs w:val="28"/>
          <w:lang w:val="en-US" w:eastAsia="zh-CN"/>
        </w:rPr>
        <w:t>。</w:t>
      </w:r>
    </w:p>
    <w:p w14:paraId="3C33AF7F">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楷体" w:hAnsi="楷体" w:eastAsia="楷体" w:cs="楷体"/>
          <w:b/>
          <w:bCs w:val="0"/>
          <w:kern w:val="0"/>
          <w:sz w:val="24"/>
          <w:szCs w:val="24"/>
          <w:lang w:val="en-US" w:eastAsia="zh-CN"/>
        </w:rPr>
      </w:pPr>
      <w:r>
        <w:rPr>
          <w:rFonts w:hint="default" w:ascii="楷体" w:hAnsi="楷体" w:eastAsia="楷体" w:cs="楷体"/>
          <w:b/>
          <w:bCs w:val="0"/>
          <w:kern w:val="0"/>
          <w:sz w:val="24"/>
          <w:szCs w:val="24"/>
          <w:lang w:val="en-US" w:eastAsia="zh-CN"/>
        </w:rPr>
        <w:t>表3-</w:t>
      </w:r>
      <w:r>
        <w:rPr>
          <w:rFonts w:hint="eastAsia" w:ascii="楷体" w:hAnsi="楷体" w:eastAsia="楷体" w:cs="楷体"/>
          <w:b/>
          <w:bCs w:val="0"/>
          <w:kern w:val="0"/>
          <w:sz w:val="24"/>
          <w:szCs w:val="24"/>
          <w:lang w:val="en-US" w:eastAsia="zh-CN"/>
        </w:rPr>
        <w:t>4 幼林施肥量参考表</w:t>
      </w:r>
    </w:p>
    <w:p w14:paraId="79BC6CA3">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right"/>
        <w:textAlignment w:val="auto"/>
        <w:rPr>
          <w:rFonts w:hint="default" w:ascii="楷体" w:hAnsi="楷体" w:eastAsia="楷体" w:cs="楷体"/>
          <w:b w:val="0"/>
          <w:bCs/>
          <w:kern w:val="0"/>
          <w:sz w:val="21"/>
          <w:szCs w:val="21"/>
          <w:lang w:val="en-US" w:eastAsia="zh-CN"/>
        </w:rPr>
      </w:pPr>
      <w:r>
        <w:rPr>
          <w:rFonts w:hint="eastAsia" w:ascii="楷体" w:hAnsi="楷体" w:eastAsia="楷体" w:cs="楷体"/>
          <w:b w:val="0"/>
          <w:bCs/>
          <w:kern w:val="0"/>
          <w:sz w:val="21"/>
          <w:szCs w:val="21"/>
          <w:lang w:val="en-US" w:eastAsia="zh-CN"/>
        </w:rPr>
        <w:t>单位：kg/株</w:t>
      </w:r>
    </w:p>
    <w:tbl>
      <w:tblPr>
        <w:tblStyle w:val="2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6"/>
        <w:gridCol w:w="1936"/>
        <w:gridCol w:w="2708"/>
        <w:gridCol w:w="2709"/>
      </w:tblGrid>
      <w:tr w14:paraId="0B953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684" w:type="pct"/>
            <w:vAlign w:val="center"/>
          </w:tcPr>
          <w:p w14:paraId="50C3D0D5">
            <w:pPr>
              <w:pStyle w:val="18"/>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b/>
                <w:bCs/>
                <w:sz w:val="21"/>
                <w:szCs w:val="21"/>
                <w:vertAlign w:val="baseline"/>
                <w:lang w:val="en-US" w:eastAsia="zh-CN"/>
              </w:rPr>
            </w:pPr>
            <w:r>
              <w:rPr>
                <w:rFonts w:hint="eastAsia" w:ascii="楷体" w:hAnsi="楷体" w:eastAsia="楷体" w:cs="楷体"/>
                <w:b/>
                <w:bCs/>
                <w:sz w:val="21"/>
                <w:szCs w:val="21"/>
                <w:vertAlign w:val="baseline"/>
                <w:lang w:val="en-US" w:eastAsia="zh-CN"/>
              </w:rPr>
              <w:t>序号</w:t>
            </w:r>
          </w:p>
        </w:tc>
        <w:tc>
          <w:tcPr>
            <w:tcW w:w="1136" w:type="pct"/>
            <w:vAlign w:val="center"/>
          </w:tcPr>
          <w:p w14:paraId="792F7E0D">
            <w:pPr>
              <w:pStyle w:val="18"/>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楷体" w:hAnsi="楷体" w:eastAsia="楷体" w:cs="楷体"/>
                <w:b/>
                <w:bCs/>
                <w:sz w:val="21"/>
                <w:szCs w:val="21"/>
                <w:vertAlign w:val="baseline"/>
                <w:lang w:val="en-US" w:eastAsia="zh-CN"/>
              </w:rPr>
            </w:pPr>
            <w:r>
              <w:rPr>
                <w:rFonts w:hint="eastAsia" w:ascii="楷体" w:hAnsi="楷体" w:eastAsia="楷体" w:cs="楷体"/>
                <w:b/>
                <w:bCs/>
                <w:sz w:val="21"/>
                <w:szCs w:val="21"/>
                <w:vertAlign w:val="baseline"/>
                <w:lang w:val="en-US" w:eastAsia="zh-CN"/>
              </w:rPr>
              <w:t>栽植树龄</w:t>
            </w:r>
          </w:p>
        </w:tc>
        <w:tc>
          <w:tcPr>
            <w:tcW w:w="1589" w:type="pct"/>
            <w:vAlign w:val="center"/>
          </w:tcPr>
          <w:p w14:paraId="32AEA68F">
            <w:pPr>
              <w:pStyle w:val="18"/>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b/>
                <w:bCs/>
                <w:sz w:val="21"/>
                <w:szCs w:val="21"/>
                <w:vertAlign w:val="baseline"/>
                <w:lang w:val="en-US" w:eastAsia="zh-CN"/>
              </w:rPr>
            </w:pPr>
            <w:r>
              <w:rPr>
                <w:rFonts w:hint="eastAsia" w:ascii="楷体" w:hAnsi="楷体" w:eastAsia="楷体" w:cs="楷体"/>
                <w:b/>
                <w:bCs/>
                <w:sz w:val="21"/>
                <w:szCs w:val="21"/>
                <w:vertAlign w:val="baseline"/>
                <w:lang w:val="en-US" w:eastAsia="zh-CN"/>
              </w:rPr>
              <w:t>复合肥施肥量</w:t>
            </w:r>
          </w:p>
        </w:tc>
        <w:tc>
          <w:tcPr>
            <w:tcW w:w="1589" w:type="pct"/>
            <w:vAlign w:val="center"/>
          </w:tcPr>
          <w:p w14:paraId="6470FBFE">
            <w:pPr>
              <w:pStyle w:val="18"/>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楷体" w:hAnsi="楷体" w:eastAsia="楷体" w:cs="楷体"/>
                <w:b/>
                <w:bCs/>
                <w:sz w:val="21"/>
                <w:szCs w:val="21"/>
                <w:vertAlign w:val="baseline"/>
                <w:lang w:val="en-US" w:eastAsia="zh-CN"/>
              </w:rPr>
            </w:pPr>
            <w:r>
              <w:rPr>
                <w:rFonts w:hint="eastAsia" w:ascii="楷体" w:hAnsi="楷体" w:eastAsia="楷体" w:cs="楷体"/>
                <w:b/>
                <w:bCs/>
                <w:sz w:val="21"/>
                <w:szCs w:val="21"/>
                <w:vertAlign w:val="baseline"/>
                <w:lang w:val="en-US" w:eastAsia="zh-CN"/>
              </w:rPr>
              <w:t>有机肥施肥量</w:t>
            </w:r>
          </w:p>
        </w:tc>
      </w:tr>
      <w:tr w14:paraId="67C95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4" w:type="pct"/>
            <w:vAlign w:val="center"/>
          </w:tcPr>
          <w:p w14:paraId="5AA85EF5">
            <w:pPr>
              <w:pStyle w:val="18"/>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1</w:t>
            </w:r>
          </w:p>
        </w:tc>
        <w:tc>
          <w:tcPr>
            <w:tcW w:w="1136" w:type="pct"/>
            <w:vAlign w:val="center"/>
          </w:tcPr>
          <w:p w14:paraId="17E5C7F1">
            <w:pPr>
              <w:pStyle w:val="18"/>
              <w:keepNext w:val="0"/>
              <w:keepLines w:val="0"/>
              <w:pageBreakBefore w:val="0"/>
              <w:widowControl w:val="0"/>
              <w:kinsoku/>
              <w:wordWrap/>
              <w:overflowPunct/>
              <w:topLinePunct w:val="0"/>
              <w:autoSpaceDE/>
              <w:autoSpaceDN/>
              <w:bidi w:val="0"/>
              <w:adjustRightInd w:val="0"/>
              <w:snapToGrid/>
              <w:spacing w:after="0" w:line="240" w:lineRule="auto"/>
              <w:ind w:firstLine="0" w:firstLineChars="0"/>
              <w:jc w:val="center"/>
              <w:textAlignment w:val="auto"/>
              <w:rPr>
                <w:rFonts w:hint="default"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第1年</w:t>
            </w:r>
          </w:p>
        </w:tc>
        <w:tc>
          <w:tcPr>
            <w:tcW w:w="1589" w:type="pct"/>
            <w:vAlign w:val="center"/>
          </w:tcPr>
          <w:p w14:paraId="4D2132D1">
            <w:pPr>
              <w:pStyle w:val="18"/>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0.05</w:t>
            </w:r>
          </w:p>
        </w:tc>
        <w:tc>
          <w:tcPr>
            <w:tcW w:w="1589" w:type="pct"/>
            <w:vAlign w:val="center"/>
          </w:tcPr>
          <w:p w14:paraId="45356CFA">
            <w:pPr>
              <w:pStyle w:val="18"/>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w:t>
            </w:r>
          </w:p>
        </w:tc>
      </w:tr>
      <w:tr w14:paraId="6545D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4" w:type="pct"/>
            <w:vAlign w:val="center"/>
          </w:tcPr>
          <w:p w14:paraId="2F27D394">
            <w:pPr>
              <w:pStyle w:val="18"/>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2</w:t>
            </w:r>
          </w:p>
        </w:tc>
        <w:tc>
          <w:tcPr>
            <w:tcW w:w="1136" w:type="pct"/>
            <w:vAlign w:val="center"/>
          </w:tcPr>
          <w:p w14:paraId="24EF83AF">
            <w:pPr>
              <w:keepNext w:val="0"/>
              <w:keepLines w:val="0"/>
              <w:pageBreakBefore w:val="0"/>
              <w:widowControl w:val="0"/>
              <w:kinsoku/>
              <w:wordWrap/>
              <w:overflowPunct/>
              <w:topLinePunct w:val="0"/>
              <w:autoSpaceDE/>
              <w:autoSpaceDN/>
              <w:bidi w:val="0"/>
              <w:adjustRightInd w:val="0"/>
              <w:snapToGrid/>
              <w:spacing w:after="0" w:line="240" w:lineRule="auto"/>
              <w:ind w:firstLine="0" w:firstLineChars="0"/>
              <w:jc w:val="center"/>
              <w:textAlignment w:val="auto"/>
              <w:rPr>
                <w:rFonts w:hint="eastAsia"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第2年</w:t>
            </w:r>
          </w:p>
        </w:tc>
        <w:tc>
          <w:tcPr>
            <w:tcW w:w="1589" w:type="pct"/>
            <w:vAlign w:val="center"/>
          </w:tcPr>
          <w:p w14:paraId="7C693D39">
            <w:pPr>
              <w:pStyle w:val="18"/>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0.05-0.15</w:t>
            </w:r>
          </w:p>
        </w:tc>
        <w:tc>
          <w:tcPr>
            <w:tcW w:w="1589" w:type="pct"/>
            <w:vAlign w:val="center"/>
          </w:tcPr>
          <w:p w14:paraId="21FE0274">
            <w:pPr>
              <w:pStyle w:val="18"/>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w:t>
            </w:r>
          </w:p>
        </w:tc>
      </w:tr>
      <w:tr w14:paraId="6EB12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4" w:type="pct"/>
            <w:vAlign w:val="center"/>
          </w:tcPr>
          <w:p w14:paraId="21842B96">
            <w:pPr>
              <w:pStyle w:val="18"/>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3</w:t>
            </w:r>
          </w:p>
        </w:tc>
        <w:tc>
          <w:tcPr>
            <w:tcW w:w="1136" w:type="pct"/>
            <w:vAlign w:val="center"/>
          </w:tcPr>
          <w:p w14:paraId="29A19A4C">
            <w:pPr>
              <w:keepNext w:val="0"/>
              <w:keepLines w:val="0"/>
              <w:pageBreakBefore w:val="0"/>
              <w:widowControl w:val="0"/>
              <w:kinsoku/>
              <w:wordWrap/>
              <w:overflowPunct/>
              <w:topLinePunct w:val="0"/>
              <w:autoSpaceDE/>
              <w:autoSpaceDN/>
              <w:bidi w:val="0"/>
              <w:adjustRightInd w:val="0"/>
              <w:snapToGrid/>
              <w:spacing w:after="0" w:line="240" w:lineRule="auto"/>
              <w:ind w:firstLine="0" w:firstLineChars="0"/>
              <w:jc w:val="center"/>
              <w:textAlignment w:val="auto"/>
              <w:rPr>
                <w:rFonts w:hint="eastAsia"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第3年</w:t>
            </w:r>
          </w:p>
        </w:tc>
        <w:tc>
          <w:tcPr>
            <w:tcW w:w="1589" w:type="pct"/>
            <w:vAlign w:val="center"/>
          </w:tcPr>
          <w:p w14:paraId="63F3B522">
            <w:pPr>
              <w:pStyle w:val="18"/>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0.15-0.2</w:t>
            </w:r>
          </w:p>
        </w:tc>
        <w:tc>
          <w:tcPr>
            <w:tcW w:w="1589" w:type="pct"/>
            <w:vAlign w:val="center"/>
          </w:tcPr>
          <w:p w14:paraId="19203F0A">
            <w:pPr>
              <w:pStyle w:val="18"/>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5-10</w:t>
            </w:r>
          </w:p>
        </w:tc>
      </w:tr>
      <w:tr w14:paraId="5C693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4" w:type="pct"/>
            <w:vAlign w:val="center"/>
          </w:tcPr>
          <w:p w14:paraId="3075DE7C">
            <w:pPr>
              <w:pStyle w:val="18"/>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4</w:t>
            </w:r>
          </w:p>
        </w:tc>
        <w:tc>
          <w:tcPr>
            <w:tcW w:w="1136" w:type="pct"/>
            <w:vAlign w:val="center"/>
          </w:tcPr>
          <w:p w14:paraId="5652E7A8">
            <w:pPr>
              <w:keepNext w:val="0"/>
              <w:keepLines w:val="0"/>
              <w:pageBreakBefore w:val="0"/>
              <w:widowControl w:val="0"/>
              <w:kinsoku/>
              <w:wordWrap/>
              <w:overflowPunct/>
              <w:topLinePunct w:val="0"/>
              <w:autoSpaceDE/>
              <w:autoSpaceDN/>
              <w:bidi w:val="0"/>
              <w:adjustRightInd w:val="0"/>
              <w:snapToGrid/>
              <w:spacing w:after="0" w:line="240" w:lineRule="auto"/>
              <w:ind w:firstLine="0" w:firstLineChars="0"/>
              <w:jc w:val="center"/>
              <w:textAlignment w:val="auto"/>
              <w:rPr>
                <w:rFonts w:hint="eastAsia"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第4年</w:t>
            </w:r>
          </w:p>
        </w:tc>
        <w:tc>
          <w:tcPr>
            <w:tcW w:w="1589" w:type="pct"/>
            <w:vAlign w:val="center"/>
          </w:tcPr>
          <w:p w14:paraId="38550CEB">
            <w:pPr>
              <w:pStyle w:val="18"/>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0.2-0.3</w:t>
            </w:r>
          </w:p>
        </w:tc>
        <w:tc>
          <w:tcPr>
            <w:tcW w:w="1589" w:type="pct"/>
            <w:vAlign w:val="center"/>
          </w:tcPr>
          <w:p w14:paraId="168230CA">
            <w:pPr>
              <w:pStyle w:val="18"/>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w:t>
            </w:r>
          </w:p>
        </w:tc>
      </w:tr>
      <w:tr w14:paraId="37609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4" w:type="pct"/>
            <w:vAlign w:val="center"/>
          </w:tcPr>
          <w:p w14:paraId="61C76266">
            <w:pPr>
              <w:pStyle w:val="18"/>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5</w:t>
            </w:r>
          </w:p>
        </w:tc>
        <w:tc>
          <w:tcPr>
            <w:tcW w:w="1136" w:type="pct"/>
            <w:vAlign w:val="center"/>
          </w:tcPr>
          <w:p w14:paraId="744AB597">
            <w:pPr>
              <w:keepNext w:val="0"/>
              <w:keepLines w:val="0"/>
              <w:pageBreakBefore w:val="0"/>
              <w:widowControl w:val="0"/>
              <w:kinsoku/>
              <w:wordWrap/>
              <w:overflowPunct/>
              <w:topLinePunct w:val="0"/>
              <w:autoSpaceDE/>
              <w:autoSpaceDN/>
              <w:bidi w:val="0"/>
              <w:adjustRightInd w:val="0"/>
              <w:snapToGrid/>
              <w:spacing w:after="0" w:line="240" w:lineRule="auto"/>
              <w:ind w:firstLine="0" w:firstLineChars="0"/>
              <w:jc w:val="center"/>
              <w:textAlignment w:val="auto"/>
              <w:rPr>
                <w:rFonts w:hint="eastAsia"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第5年</w:t>
            </w:r>
          </w:p>
        </w:tc>
        <w:tc>
          <w:tcPr>
            <w:tcW w:w="1589" w:type="pct"/>
            <w:vAlign w:val="center"/>
          </w:tcPr>
          <w:p w14:paraId="507ECB4B">
            <w:pPr>
              <w:pStyle w:val="18"/>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0.3-0.5</w:t>
            </w:r>
          </w:p>
        </w:tc>
        <w:tc>
          <w:tcPr>
            <w:tcW w:w="1589" w:type="pct"/>
            <w:vAlign w:val="center"/>
          </w:tcPr>
          <w:p w14:paraId="2D3F9A75">
            <w:pPr>
              <w:pStyle w:val="18"/>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楷体" w:hAnsi="楷体" w:eastAsia="楷体" w:cs="楷体"/>
                <w:sz w:val="21"/>
                <w:szCs w:val="21"/>
                <w:vertAlign w:val="baseline"/>
                <w:lang w:val="en-US" w:eastAsia="zh-CN"/>
              </w:rPr>
            </w:pPr>
            <w:r>
              <w:rPr>
                <w:rFonts w:hint="eastAsia" w:ascii="楷体" w:hAnsi="楷体" w:eastAsia="楷体" w:cs="楷体"/>
                <w:sz w:val="21"/>
                <w:szCs w:val="21"/>
                <w:vertAlign w:val="baseline"/>
                <w:lang w:val="en-US" w:eastAsia="zh-CN"/>
              </w:rPr>
              <w:t>-</w:t>
            </w:r>
          </w:p>
        </w:tc>
      </w:tr>
    </w:tbl>
    <w:p w14:paraId="42A082B5">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bookmarkStart w:id="338" w:name="_Toc17104"/>
      <w:bookmarkStart w:id="339" w:name="_Toc9436"/>
      <w:bookmarkStart w:id="340" w:name="_Toc4890"/>
      <w:bookmarkStart w:id="341" w:name="_Toc16936"/>
      <w:r>
        <w:rPr>
          <w:rFonts w:hint="eastAsia" w:ascii="Times New Roman" w:hAnsi="Times New Roman" w:eastAsia="仿宋_GB2312" w:cs="Times New Roman"/>
          <w:b/>
          <w:bCs w:val="0"/>
          <w:kern w:val="0"/>
          <w:sz w:val="28"/>
          <w:szCs w:val="28"/>
          <w:lang w:val="en-US" w:eastAsia="zh-CN"/>
        </w:rPr>
        <w:t>5）灌溉</w:t>
      </w:r>
      <w:bookmarkEnd w:id="338"/>
      <w:bookmarkEnd w:id="339"/>
      <w:bookmarkEnd w:id="340"/>
      <w:bookmarkEnd w:id="341"/>
    </w:p>
    <w:p w14:paraId="18D5DAC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342" w:name="_Toc5671"/>
      <w:bookmarkStart w:id="343" w:name="_Toc15500"/>
      <w:bookmarkStart w:id="344" w:name="_Toc27575"/>
      <w:bookmarkStart w:id="345" w:name="_Toc21717"/>
      <w:r>
        <w:rPr>
          <w:rFonts w:hint="eastAsia" w:ascii="Times New Roman" w:hAnsi="Times New Roman" w:eastAsia="仿宋_GB2312" w:cs="Times New Roman"/>
          <w:bCs/>
          <w:kern w:val="0"/>
          <w:sz w:val="28"/>
          <w:szCs w:val="28"/>
          <w:lang w:val="en-US" w:eastAsia="zh-CN"/>
        </w:rPr>
        <w:t>根据油茶树需水特点和土壤墒情，主要视土壤干旱及油茶生育需水程度，利用水肥一体化设施进行适时灌溉。</w:t>
      </w:r>
      <w:bookmarkEnd w:id="342"/>
      <w:bookmarkEnd w:id="343"/>
      <w:bookmarkEnd w:id="344"/>
      <w:bookmarkEnd w:id="345"/>
    </w:p>
    <w:p w14:paraId="5EFE191F">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bookmarkStart w:id="346" w:name="_Toc22289"/>
      <w:bookmarkStart w:id="347" w:name="_Toc14883"/>
      <w:bookmarkStart w:id="348" w:name="_Toc18864"/>
      <w:bookmarkStart w:id="349" w:name="_Toc929"/>
      <w:r>
        <w:rPr>
          <w:rFonts w:hint="eastAsia" w:ascii="Times New Roman" w:hAnsi="Times New Roman" w:eastAsia="仿宋_GB2312" w:cs="Times New Roman"/>
          <w:b/>
          <w:bCs w:val="0"/>
          <w:kern w:val="0"/>
          <w:sz w:val="28"/>
          <w:szCs w:val="28"/>
          <w:lang w:val="en-US" w:eastAsia="zh-CN"/>
        </w:rPr>
        <w:t>（2）成林土肥水管理</w:t>
      </w:r>
      <w:bookmarkEnd w:id="346"/>
      <w:bookmarkEnd w:id="347"/>
      <w:bookmarkEnd w:id="348"/>
      <w:bookmarkEnd w:id="349"/>
    </w:p>
    <w:p w14:paraId="7E68A235">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bookmarkStart w:id="350" w:name="_Toc23481"/>
      <w:bookmarkStart w:id="351" w:name="_Toc29483"/>
      <w:bookmarkStart w:id="352" w:name="_Toc6942"/>
      <w:bookmarkStart w:id="353" w:name="_Toc22852"/>
      <w:r>
        <w:rPr>
          <w:rFonts w:hint="eastAsia" w:ascii="Times New Roman" w:hAnsi="Times New Roman" w:eastAsia="仿宋_GB2312" w:cs="Times New Roman"/>
          <w:b/>
          <w:bCs w:val="0"/>
          <w:kern w:val="0"/>
          <w:sz w:val="28"/>
          <w:szCs w:val="28"/>
          <w:lang w:val="en-US" w:eastAsia="zh-CN"/>
        </w:rPr>
        <w:t>1）抚育除草</w:t>
      </w:r>
    </w:p>
    <w:p w14:paraId="7E3BF9A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成林每年在秋季除草1次。可利用人工除草结合割灌机的方式割除生长过快、过高的杂草，应适当保留部分矮草，保持林地植被生物多样性。</w:t>
      </w:r>
      <w:bookmarkEnd w:id="350"/>
      <w:bookmarkEnd w:id="351"/>
      <w:bookmarkEnd w:id="352"/>
      <w:bookmarkEnd w:id="353"/>
    </w:p>
    <w:p w14:paraId="58DAA3FE">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bookmarkStart w:id="354" w:name="_Toc14998"/>
      <w:bookmarkStart w:id="355" w:name="_Toc15013"/>
      <w:bookmarkStart w:id="356" w:name="_Toc22743"/>
      <w:bookmarkStart w:id="357" w:name="_Toc15712"/>
      <w:r>
        <w:rPr>
          <w:rFonts w:hint="eastAsia" w:ascii="Times New Roman" w:hAnsi="Times New Roman" w:eastAsia="仿宋_GB2312" w:cs="Times New Roman"/>
          <w:b/>
          <w:bCs w:val="0"/>
          <w:kern w:val="0"/>
          <w:sz w:val="28"/>
          <w:szCs w:val="28"/>
          <w:lang w:val="en-US" w:eastAsia="zh-CN"/>
        </w:rPr>
        <w:t>2）垦复</w:t>
      </w:r>
    </w:p>
    <w:p w14:paraId="210F473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利用冬挖夏锄，冬宜深挖，一般在20-25cm深，夏季宜浅锄，其深度在10-15cm。冬挖夏锄只要做到2年1深挖，1年1浅锄即可。垦复时要注意荒山宜深，熟山宜浅；平坡深，陡坡浅；大树老树深，幼树浅；树冠外深，树冠内浅。</w:t>
      </w:r>
      <w:bookmarkEnd w:id="354"/>
      <w:bookmarkEnd w:id="355"/>
      <w:bookmarkEnd w:id="356"/>
      <w:bookmarkEnd w:id="357"/>
    </w:p>
    <w:p w14:paraId="510E1247">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bookmarkStart w:id="358" w:name="_Toc18577"/>
      <w:bookmarkStart w:id="359" w:name="_Toc14025"/>
      <w:bookmarkStart w:id="360" w:name="_Toc32130"/>
      <w:bookmarkStart w:id="361" w:name="_Toc9475"/>
      <w:r>
        <w:rPr>
          <w:rFonts w:hint="eastAsia" w:ascii="Times New Roman" w:hAnsi="Times New Roman" w:eastAsia="仿宋_GB2312" w:cs="Times New Roman"/>
          <w:b/>
          <w:bCs w:val="0"/>
          <w:kern w:val="0"/>
          <w:sz w:val="28"/>
          <w:szCs w:val="28"/>
          <w:lang w:val="en-US" w:eastAsia="zh-CN"/>
        </w:rPr>
        <w:t>3）施肥</w:t>
      </w:r>
    </w:p>
    <w:p w14:paraId="78A7A65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盛果期林地养分消耗过多，林分普遍因缺肥而生长发育不良，应每年增施肥料。施肥要N、P、K合理配比，利用水肥一体化设施进行施肥。</w:t>
      </w:r>
      <w:bookmarkEnd w:id="358"/>
      <w:bookmarkEnd w:id="359"/>
      <w:bookmarkEnd w:id="360"/>
      <w:bookmarkEnd w:id="361"/>
    </w:p>
    <w:p w14:paraId="78C1A599">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bookmarkStart w:id="362" w:name="_Toc7782"/>
      <w:bookmarkStart w:id="363" w:name="_Toc25374"/>
      <w:bookmarkStart w:id="364" w:name="_Toc23204"/>
      <w:bookmarkStart w:id="365" w:name="_Toc16091"/>
      <w:r>
        <w:rPr>
          <w:rFonts w:hint="eastAsia" w:ascii="Times New Roman" w:hAnsi="Times New Roman" w:eastAsia="仿宋_GB2312" w:cs="Times New Roman"/>
          <w:b/>
          <w:bCs w:val="0"/>
          <w:kern w:val="0"/>
          <w:sz w:val="28"/>
          <w:szCs w:val="28"/>
          <w:lang w:val="en-US" w:eastAsia="zh-CN"/>
        </w:rPr>
        <w:t>4）灌溉</w:t>
      </w:r>
    </w:p>
    <w:p w14:paraId="10851D0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油茶主要分布区一般是夏季干旱少雨，7-9月份的降水量为一年中最少的阶段，而此时正是果实膨大和油脂转化期，水分条件对油茶生长发育影响尤其明显，可利用水肥一体化设施进行灌溉。</w:t>
      </w:r>
      <w:bookmarkEnd w:id="362"/>
      <w:bookmarkEnd w:id="363"/>
      <w:bookmarkEnd w:id="364"/>
      <w:bookmarkEnd w:id="365"/>
    </w:p>
    <w:p w14:paraId="32477EF7">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bookmarkStart w:id="366" w:name="_Toc15905"/>
      <w:bookmarkStart w:id="367" w:name="_Toc3788"/>
      <w:bookmarkStart w:id="368" w:name="_Toc13887"/>
      <w:bookmarkStart w:id="369" w:name="_Toc23401"/>
      <w:r>
        <w:rPr>
          <w:rFonts w:hint="eastAsia" w:ascii="Times New Roman" w:hAnsi="Times New Roman" w:eastAsia="仿宋_GB2312" w:cs="Times New Roman"/>
          <w:b/>
          <w:bCs w:val="0"/>
          <w:kern w:val="0"/>
          <w:sz w:val="28"/>
          <w:szCs w:val="28"/>
          <w:lang w:val="en-US" w:eastAsia="zh-CN"/>
        </w:rPr>
        <w:t>（3）整形修枝</w:t>
      </w:r>
      <w:bookmarkEnd w:id="366"/>
      <w:bookmarkEnd w:id="367"/>
      <w:bookmarkEnd w:id="368"/>
      <w:bookmarkEnd w:id="369"/>
    </w:p>
    <w:p w14:paraId="164168F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370" w:name="_Toc10142"/>
      <w:bookmarkStart w:id="371" w:name="_Toc1306"/>
      <w:bookmarkStart w:id="372" w:name="_Toc10033"/>
      <w:bookmarkStart w:id="373" w:name="_Toc1603"/>
      <w:r>
        <w:rPr>
          <w:rFonts w:hint="eastAsia" w:ascii="Times New Roman" w:hAnsi="Times New Roman" w:eastAsia="仿宋_GB2312" w:cs="Times New Roman"/>
          <w:bCs/>
          <w:kern w:val="0"/>
          <w:sz w:val="28"/>
          <w:szCs w:val="28"/>
          <w:lang w:val="en-US" w:eastAsia="zh-CN"/>
        </w:rPr>
        <w:t>油茶幼林树体整形修剪，以培育树冠为主。幼林应以整形为主，修剪作为补充，轻度修剪，控制徒长枝，疏去细弱侧枝，促进侧枝生长，形成低矮的圆柱形、半球形等树冠，扩大树冠提早结果。应做到因树制宜，随枝作形，剪密留疏，去弱留强，弱树较重剪，强树梢轻剪，促使保留的基础枝萌发良好的新梢</w:t>
      </w:r>
      <w:bookmarkStart w:id="909" w:name="_GoBack"/>
      <w:bookmarkEnd w:id="909"/>
      <w:r>
        <w:rPr>
          <w:rFonts w:hint="eastAsia" w:ascii="Times New Roman" w:hAnsi="Times New Roman" w:eastAsia="仿宋_GB2312" w:cs="Times New Roman"/>
          <w:bCs/>
          <w:kern w:val="0"/>
          <w:sz w:val="28"/>
          <w:szCs w:val="28"/>
          <w:lang w:val="en-US" w:eastAsia="zh-CN"/>
        </w:rPr>
        <w:t>。幼树只能少量轻剪或不剪，不宜过度修剪。</w:t>
      </w:r>
      <w:bookmarkEnd w:id="370"/>
      <w:bookmarkEnd w:id="371"/>
      <w:bookmarkEnd w:id="372"/>
      <w:bookmarkEnd w:id="373"/>
    </w:p>
    <w:p w14:paraId="0346F91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374" w:name="_Toc13346"/>
      <w:bookmarkStart w:id="375" w:name="_Toc31200"/>
      <w:bookmarkStart w:id="376" w:name="_Toc27726"/>
      <w:bookmarkStart w:id="377" w:name="_Toc110"/>
      <w:r>
        <w:rPr>
          <w:rFonts w:hint="eastAsia" w:ascii="Times New Roman" w:hAnsi="Times New Roman" w:eastAsia="仿宋_GB2312" w:cs="Times New Roman"/>
          <w:bCs/>
          <w:kern w:val="0"/>
          <w:sz w:val="28"/>
          <w:szCs w:val="28"/>
          <w:lang w:val="en-US" w:eastAsia="zh-CN"/>
        </w:rPr>
        <w:t>一般来说，油茶主干长到一定高度时，就应按预定的主干高度截顶梢，然后在主干上部选3-4个枝条作主枝，均匀导引主枝向外上方生长，第二年主枝适当修剪、控制长势，使之均衡生长，并逐步培养成自然圆头和开心形的树冠。</w:t>
      </w:r>
      <w:bookmarkEnd w:id="374"/>
      <w:bookmarkEnd w:id="375"/>
      <w:bookmarkEnd w:id="376"/>
      <w:bookmarkEnd w:id="377"/>
    </w:p>
    <w:p w14:paraId="245BBA16">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bookmarkStart w:id="378" w:name="_Toc30693"/>
      <w:bookmarkStart w:id="379" w:name="_Toc14120"/>
      <w:bookmarkStart w:id="380" w:name="_Toc24836"/>
      <w:bookmarkStart w:id="381" w:name="_Toc7207"/>
      <w:r>
        <w:rPr>
          <w:rFonts w:hint="eastAsia" w:ascii="Times New Roman" w:hAnsi="Times New Roman" w:eastAsia="仿宋_GB2312" w:cs="Times New Roman"/>
          <w:b/>
          <w:bCs w:val="0"/>
          <w:kern w:val="0"/>
          <w:sz w:val="28"/>
          <w:szCs w:val="28"/>
          <w:lang w:val="en-US" w:eastAsia="zh-CN"/>
        </w:rPr>
        <w:t>（4）病虫害防治</w:t>
      </w:r>
      <w:bookmarkEnd w:id="378"/>
      <w:bookmarkEnd w:id="379"/>
      <w:bookmarkEnd w:id="380"/>
      <w:bookmarkEnd w:id="381"/>
    </w:p>
    <w:p w14:paraId="4B48D61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382" w:name="_Toc26108"/>
      <w:bookmarkStart w:id="383" w:name="_Toc11665"/>
      <w:bookmarkStart w:id="384" w:name="_Toc31519"/>
      <w:bookmarkStart w:id="385" w:name="_Toc10188"/>
      <w:r>
        <w:rPr>
          <w:rFonts w:hint="eastAsia" w:ascii="Times New Roman" w:hAnsi="Times New Roman" w:eastAsia="仿宋_GB2312" w:cs="Times New Roman"/>
          <w:bCs/>
          <w:kern w:val="0"/>
          <w:sz w:val="28"/>
          <w:szCs w:val="28"/>
          <w:lang w:val="en-US" w:eastAsia="zh-CN"/>
        </w:rPr>
        <w:t>油茶病虫害防治以生物防治为主，辅以低毒低残留高效的农药化学防治为辅，以综合治理和预防为主，结合树体管理，可在4-7月份定期喷洒波尔多液等杀菌剂。</w:t>
      </w:r>
    </w:p>
    <w:p w14:paraId="162C955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油茶丰产林主要病虫油茶病害主要有：炭疽病、软腐病、煤污病、茶苞病等；虫害主要有：绿鳞象甲、油茶枯叶蛾、茶梢蛾、油茶蛀茎虫、蓝翅天牛等。</w:t>
      </w:r>
      <w:bookmarkEnd w:id="382"/>
      <w:bookmarkEnd w:id="383"/>
      <w:bookmarkEnd w:id="384"/>
      <w:bookmarkEnd w:id="385"/>
    </w:p>
    <w:p w14:paraId="1F91CDCC">
      <w:pPr>
        <w:pStyle w:val="4"/>
        <w:pageBreakBefore w:val="0"/>
        <w:widowControl w:val="0"/>
        <w:kinsoku/>
        <w:wordWrap/>
        <w:overflowPunct/>
        <w:topLinePunct w:val="0"/>
        <w:bidi w:val="0"/>
        <w:rPr>
          <w:rFonts w:hint="eastAsia" w:ascii="楷体" w:hAnsi="楷体" w:eastAsia="楷体" w:cs="楷体"/>
          <w:lang w:val="en-US" w:eastAsia="zh-CN"/>
        </w:rPr>
      </w:pPr>
      <w:r>
        <w:rPr>
          <w:rFonts w:hint="eastAsia" w:ascii="楷体" w:hAnsi="楷体" w:eastAsia="楷体" w:cs="楷体"/>
          <w:lang w:val="en-US" w:eastAsia="zh-CN"/>
        </w:rPr>
        <w:t>3.6.11森林防火</w:t>
      </w:r>
    </w:p>
    <w:p w14:paraId="79F4DC7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386" w:name="_Toc3711"/>
      <w:bookmarkStart w:id="387" w:name="_Toc8261"/>
      <w:bookmarkStart w:id="388" w:name="_Toc22634"/>
      <w:bookmarkStart w:id="389" w:name="_Toc11203"/>
      <w:r>
        <w:rPr>
          <w:rFonts w:hint="eastAsia" w:ascii="Times New Roman" w:hAnsi="Times New Roman" w:eastAsia="仿宋_GB2312" w:cs="Times New Roman"/>
          <w:bCs/>
          <w:kern w:val="0"/>
          <w:sz w:val="28"/>
          <w:szCs w:val="28"/>
          <w:lang w:val="en-US" w:eastAsia="zh-CN"/>
        </w:rPr>
        <w:t>根据“预防为主，因害设防，综合治理”的原则，将新造林地纳入县、乡、村森林防火组织系统，切实做好森林防火工作。</w:t>
      </w:r>
      <w:bookmarkEnd w:id="386"/>
      <w:bookmarkEnd w:id="387"/>
      <w:bookmarkEnd w:id="388"/>
      <w:bookmarkEnd w:id="389"/>
    </w:p>
    <w:p w14:paraId="1A850930">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390" w:name="_Toc13753"/>
      <w:bookmarkStart w:id="391" w:name="_Toc25676"/>
      <w:bookmarkStart w:id="392" w:name="_Toc12144"/>
      <w:bookmarkStart w:id="393" w:name="_Toc7329"/>
      <w:r>
        <w:rPr>
          <w:rFonts w:hint="eastAsia" w:ascii="Times New Roman" w:hAnsi="Times New Roman" w:eastAsia="仿宋_GB2312" w:cs="Times New Roman"/>
          <w:bCs/>
          <w:kern w:val="0"/>
          <w:sz w:val="28"/>
          <w:szCs w:val="28"/>
          <w:lang w:val="en-US" w:eastAsia="zh-CN"/>
        </w:rPr>
        <w:t>及时清理造林施工作业产生的树枝、灌木和藤草，减少森林可燃物数量，降低森林火灾风险。要注意保留维护好造林作业道路，充分利用作业道路建设防火通道、防火隔离道。</w:t>
      </w:r>
      <w:bookmarkEnd w:id="390"/>
      <w:bookmarkEnd w:id="391"/>
      <w:bookmarkEnd w:id="392"/>
      <w:bookmarkEnd w:id="393"/>
    </w:p>
    <w:p w14:paraId="2882DAC4">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394" w:name="_Toc14234"/>
      <w:bookmarkStart w:id="395" w:name="_Toc3035"/>
      <w:bookmarkStart w:id="396" w:name="_Toc32047"/>
      <w:r>
        <w:rPr>
          <w:rFonts w:hint="eastAsia" w:ascii="黑体" w:hAnsi="黑体" w:cs="Times New Roman"/>
          <w:bCs w:val="0"/>
          <w:kern w:val="0"/>
          <w:sz w:val="32"/>
          <w:szCs w:val="32"/>
          <w:lang w:val="en-US" w:eastAsia="zh-CN"/>
        </w:rPr>
        <w:t>3</w:t>
      </w:r>
      <w:r>
        <w:rPr>
          <w:rFonts w:hint="eastAsia" w:ascii="黑体" w:hAnsi="黑体" w:eastAsia="黑体" w:cs="Times New Roman"/>
          <w:bCs w:val="0"/>
          <w:kern w:val="0"/>
          <w:sz w:val="32"/>
          <w:szCs w:val="32"/>
          <w:lang w:val="en-US" w:eastAsia="zh-CN"/>
        </w:rPr>
        <w:t>.</w:t>
      </w:r>
      <w:r>
        <w:rPr>
          <w:rFonts w:hint="eastAsia" w:ascii="黑体" w:hAnsi="黑体" w:cs="Times New Roman"/>
          <w:bCs w:val="0"/>
          <w:kern w:val="0"/>
          <w:sz w:val="32"/>
          <w:szCs w:val="32"/>
          <w:lang w:val="en-US" w:eastAsia="zh-CN"/>
        </w:rPr>
        <w:t>7种苗组织设计</w:t>
      </w:r>
      <w:bookmarkEnd w:id="394"/>
      <w:bookmarkEnd w:id="395"/>
      <w:bookmarkEnd w:id="396"/>
    </w:p>
    <w:p w14:paraId="6C952A63">
      <w:pPr>
        <w:pStyle w:val="4"/>
        <w:pageBreakBefore w:val="0"/>
        <w:widowControl w:val="0"/>
        <w:kinsoku/>
        <w:wordWrap/>
        <w:overflowPunct/>
        <w:topLinePunct w:val="0"/>
        <w:autoSpaceDE/>
        <w:autoSpaceDN/>
        <w:bidi w:val="0"/>
        <w:adjustRightInd/>
        <w:snapToGrid/>
        <w:textAlignment w:val="auto"/>
        <w:rPr>
          <w:rFonts w:hint="eastAsia" w:ascii="楷体" w:hAnsi="楷体" w:eastAsia="楷体" w:cs="楷体"/>
          <w:lang w:val="en-US" w:eastAsia="zh-CN"/>
        </w:rPr>
      </w:pPr>
      <w:r>
        <w:rPr>
          <w:rFonts w:hint="eastAsia" w:ascii="楷体" w:hAnsi="楷体" w:eastAsia="楷体" w:cs="楷体"/>
          <w:lang w:val="en-US" w:eastAsia="zh-CN"/>
        </w:rPr>
        <w:t>3.7.1种苗数量</w:t>
      </w:r>
    </w:p>
    <w:p w14:paraId="668A158A">
      <w:pPr>
        <w:pageBreakBefore w:val="0"/>
        <w:widowControl w:val="0"/>
        <w:kinsoku/>
        <w:wordWrap/>
        <w:overflowPunct/>
        <w:topLinePunct w:val="0"/>
        <w:autoSpaceDE/>
        <w:autoSpaceDN/>
        <w:bidi w:val="0"/>
        <w:adjustRightInd/>
        <w:snapToGrid/>
        <w:spacing w:after="0" w:line="360" w:lineRule="auto"/>
        <w:ind w:firstLine="560" w:firstLineChars="200"/>
        <w:jc w:val="both"/>
        <w:textAlignment w:val="auto"/>
        <w:rPr>
          <w:rFonts w:hint="eastAsia" w:ascii="Times New Roman" w:hAnsi="Times New Roman" w:eastAsia="仿宋_GB2312" w:cs="Times New Roman"/>
          <w:bCs/>
          <w:kern w:val="0"/>
          <w:sz w:val="28"/>
          <w:szCs w:val="28"/>
          <w:lang w:val="en-US" w:eastAsia="zh-CN"/>
        </w:rPr>
      </w:pPr>
      <w:bookmarkStart w:id="397" w:name="_Toc12560"/>
      <w:bookmarkStart w:id="398" w:name="_Toc30595"/>
      <w:bookmarkStart w:id="399" w:name="_Toc10650"/>
      <w:bookmarkStart w:id="400" w:name="_Toc7534"/>
      <w:r>
        <w:rPr>
          <w:rFonts w:hint="eastAsia" w:ascii="Times New Roman" w:hAnsi="Times New Roman" w:eastAsia="仿宋_GB2312" w:cs="Times New Roman"/>
          <w:bCs/>
          <w:kern w:val="0"/>
          <w:sz w:val="28"/>
          <w:szCs w:val="28"/>
          <w:lang w:val="en-US" w:eastAsia="zh-CN"/>
        </w:rPr>
        <w:t>本项目共需苗木4.77万株（含10%损耗），其中长林53号2.39万株，长林40号1.19万株，长林4号1.19万株。各乡镇、村需苗量详见下表。</w:t>
      </w:r>
      <w:bookmarkEnd w:id="397"/>
      <w:bookmarkEnd w:id="398"/>
      <w:bookmarkEnd w:id="399"/>
      <w:bookmarkEnd w:id="400"/>
    </w:p>
    <w:p w14:paraId="09ADB6EE">
      <w:pPr>
        <w:pStyle w:val="9"/>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楷体" w:hAnsi="楷体" w:eastAsia="楷体" w:cs="楷体"/>
          <w:b/>
          <w:bCs w:val="0"/>
          <w:kern w:val="0"/>
          <w:sz w:val="24"/>
          <w:szCs w:val="24"/>
          <w:lang w:val="en-US" w:eastAsia="zh-CN"/>
        </w:rPr>
      </w:pPr>
      <w:r>
        <w:rPr>
          <w:rFonts w:hint="eastAsia" w:ascii="楷体" w:hAnsi="楷体" w:eastAsia="楷体" w:cs="楷体"/>
          <w:b/>
          <w:bCs w:val="0"/>
          <w:kern w:val="0"/>
          <w:sz w:val="24"/>
          <w:szCs w:val="24"/>
          <w:lang w:val="en-US" w:eastAsia="zh-CN"/>
        </w:rPr>
        <w:t>表3-5 各乡镇</w:t>
      </w:r>
      <w:r>
        <w:rPr>
          <w:rFonts w:hint="default" w:ascii="楷体" w:hAnsi="楷体" w:eastAsia="楷体" w:cs="楷体"/>
          <w:b/>
          <w:bCs w:val="0"/>
          <w:kern w:val="0"/>
          <w:sz w:val="24"/>
          <w:szCs w:val="24"/>
          <w:lang w:val="en-US" w:eastAsia="zh-CN"/>
        </w:rPr>
        <w:t>苗木需</w:t>
      </w:r>
      <w:r>
        <w:rPr>
          <w:rFonts w:hint="eastAsia" w:ascii="楷体" w:hAnsi="楷体" w:eastAsia="楷体" w:cs="楷体"/>
          <w:b/>
          <w:bCs w:val="0"/>
          <w:kern w:val="0"/>
          <w:sz w:val="24"/>
          <w:szCs w:val="24"/>
          <w:lang w:val="en-US" w:eastAsia="zh-CN"/>
        </w:rPr>
        <w:t>要</w:t>
      </w:r>
      <w:r>
        <w:rPr>
          <w:rFonts w:hint="default" w:ascii="楷体" w:hAnsi="楷体" w:eastAsia="楷体" w:cs="楷体"/>
          <w:b/>
          <w:bCs w:val="0"/>
          <w:kern w:val="0"/>
          <w:sz w:val="24"/>
          <w:szCs w:val="24"/>
          <w:lang w:val="en-US" w:eastAsia="zh-CN"/>
        </w:rPr>
        <w:t>量</w:t>
      </w:r>
      <w:r>
        <w:rPr>
          <w:rFonts w:hint="eastAsia" w:ascii="楷体" w:hAnsi="楷体" w:eastAsia="楷体" w:cs="楷体"/>
          <w:b/>
          <w:bCs w:val="0"/>
          <w:kern w:val="0"/>
          <w:sz w:val="24"/>
          <w:szCs w:val="24"/>
          <w:lang w:val="en-US" w:eastAsia="zh-CN"/>
        </w:rPr>
        <w:t>表</w:t>
      </w:r>
    </w:p>
    <w:p w14:paraId="7E2867B0">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right"/>
        <w:rPr>
          <w:rFonts w:ascii="楷体_GB2312" w:hAnsi="宋体" w:eastAsia="楷体_GB2312"/>
          <w:szCs w:val="21"/>
        </w:rPr>
      </w:pPr>
      <w:r>
        <w:rPr>
          <w:rFonts w:hint="eastAsia" w:ascii="楷体_GB2312" w:hAnsi="宋体" w:eastAsia="楷体_GB2312"/>
          <w:szCs w:val="21"/>
        </w:rPr>
        <w:t>单位：株</w:t>
      </w:r>
    </w:p>
    <w:tbl>
      <w:tblPr>
        <w:tblStyle w:val="2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6"/>
        <w:gridCol w:w="1132"/>
        <w:gridCol w:w="1176"/>
        <w:gridCol w:w="1448"/>
        <w:gridCol w:w="1448"/>
        <w:gridCol w:w="1313"/>
        <w:gridCol w:w="1186"/>
      </w:tblGrid>
      <w:tr w14:paraId="07E12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blHeader/>
        </w:trPr>
        <w:tc>
          <w:tcPr>
            <w:tcW w:w="491" w:type="pct"/>
            <w:shd w:val="clear" w:color="auto" w:fill="auto"/>
            <w:noWrap/>
            <w:vAlign w:val="center"/>
          </w:tcPr>
          <w:p w14:paraId="1A95F80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rPr>
                <w:rFonts w:hint="eastAsia" w:ascii="楷体_GB2312" w:hAnsi="楷体_GB2312" w:eastAsia="楷体_GB2312" w:cs="楷体_GB2312"/>
                <w:b/>
                <w:bCs/>
                <w:sz w:val="24"/>
                <w:lang w:val="en-US" w:eastAsia="zh-CN"/>
              </w:rPr>
            </w:pPr>
            <w:r>
              <w:rPr>
                <w:rFonts w:hint="eastAsia" w:ascii="楷体_GB2312" w:hAnsi="楷体_GB2312" w:eastAsia="楷体_GB2312" w:cs="楷体_GB2312"/>
                <w:b/>
                <w:bCs/>
                <w:sz w:val="24"/>
                <w:lang w:val="en-US" w:eastAsia="zh-CN"/>
              </w:rPr>
              <w:t>序号</w:t>
            </w:r>
          </w:p>
        </w:tc>
        <w:tc>
          <w:tcPr>
            <w:tcW w:w="729" w:type="pct"/>
            <w:shd w:val="clear" w:color="auto" w:fill="auto"/>
            <w:noWrap/>
            <w:vAlign w:val="center"/>
          </w:tcPr>
          <w:p w14:paraId="03A3EE8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rPr>
                <w:rFonts w:hint="eastAsia" w:ascii="楷体_GB2312" w:hAnsi="楷体_GB2312" w:eastAsia="楷体_GB2312" w:cs="楷体_GB2312"/>
                <w:b/>
                <w:bCs/>
                <w:sz w:val="24"/>
                <w:lang w:val="en-US" w:eastAsia="zh-CN"/>
              </w:rPr>
            </w:pPr>
            <w:r>
              <w:rPr>
                <w:rFonts w:hint="eastAsia" w:ascii="楷体_GB2312" w:hAnsi="楷体_GB2312" w:eastAsia="楷体_GB2312" w:cs="楷体_GB2312"/>
                <w:b/>
                <w:bCs/>
                <w:sz w:val="24"/>
                <w:lang w:val="en-US" w:eastAsia="zh-CN"/>
              </w:rPr>
              <w:t>乡镇</w:t>
            </w:r>
          </w:p>
        </w:tc>
        <w:tc>
          <w:tcPr>
            <w:tcW w:w="613" w:type="pct"/>
            <w:shd w:val="clear" w:color="auto" w:fill="auto"/>
            <w:noWrap/>
            <w:vAlign w:val="center"/>
          </w:tcPr>
          <w:p w14:paraId="5C262840">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rPr>
                <w:rFonts w:hint="default" w:ascii="楷体_GB2312" w:hAnsi="楷体_GB2312" w:eastAsia="楷体_GB2312" w:cs="楷体_GB2312"/>
                <w:b/>
                <w:bCs/>
                <w:sz w:val="24"/>
                <w:lang w:val="en-US" w:eastAsia="zh-CN"/>
              </w:rPr>
            </w:pPr>
            <w:r>
              <w:rPr>
                <w:rFonts w:hint="eastAsia" w:ascii="楷体_GB2312" w:hAnsi="楷体_GB2312" w:eastAsia="楷体_GB2312" w:cs="楷体_GB2312"/>
                <w:b/>
                <w:bCs/>
                <w:sz w:val="24"/>
                <w:lang w:val="en-US" w:eastAsia="zh-CN"/>
              </w:rPr>
              <w:t>村</w:t>
            </w:r>
          </w:p>
        </w:tc>
        <w:tc>
          <w:tcPr>
            <w:tcW w:w="849" w:type="pct"/>
            <w:shd w:val="clear" w:color="auto" w:fill="auto"/>
            <w:noWrap/>
            <w:vAlign w:val="center"/>
          </w:tcPr>
          <w:p w14:paraId="345EEEC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rPr>
                <w:rFonts w:hint="default" w:ascii="楷体_GB2312" w:hAnsi="楷体_GB2312" w:eastAsia="楷体_GB2312" w:cs="楷体_GB2312"/>
                <w:b/>
                <w:bCs/>
                <w:sz w:val="24"/>
                <w:lang w:val="en-US" w:eastAsia="zh-CN"/>
              </w:rPr>
            </w:pPr>
            <w:r>
              <w:rPr>
                <w:rFonts w:hint="eastAsia" w:ascii="楷体_GB2312" w:hAnsi="楷体_GB2312" w:eastAsia="楷体_GB2312" w:cs="楷体_GB2312"/>
                <w:b/>
                <w:bCs/>
                <w:sz w:val="24"/>
                <w:lang w:val="en-US" w:eastAsia="zh-CN"/>
              </w:rPr>
              <w:t>长林53号</w:t>
            </w:r>
          </w:p>
        </w:tc>
        <w:tc>
          <w:tcPr>
            <w:tcW w:w="849" w:type="pct"/>
            <w:shd w:val="clear" w:color="auto" w:fill="auto"/>
            <w:noWrap/>
            <w:vAlign w:val="center"/>
          </w:tcPr>
          <w:p w14:paraId="1EC5894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rPr>
                <w:rFonts w:hint="default" w:ascii="楷体_GB2312" w:hAnsi="楷体_GB2312" w:eastAsia="楷体_GB2312" w:cs="楷体_GB2312"/>
                <w:b/>
                <w:bCs/>
                <w:sz w:val="24"/>
                <w:lang w:val="en-US" w:eastAsia="zh-CN"/>
              </w:rPr>
            </w:pPr>
            <w:r>
              <w:rPr>
                <w:rFonts w:hint="eastAsia" w:ascii="楷体_GB2312" w:hAnsi="楷体_GB2312" w:eastAsia="楷体_GB2312" w:cs="楷体_GB2312"/>
                <w:b/>
                <w:bCs/>
                <w:sz w:val="24"/>
                <w:lang w:val="en-US" w:eastAsia="zh-CN"/>
              </w:rPr>
              <w:t>长林40号</w:t>
            </w:r>
          </w:p>
        </w:tc>
        <w:tc>
          <w:tcPr>
            <w:tcW w:w="770" w:type="pct"/>
            <w:shd w:val="clear" w:color="auto" w:fill="auto"/>
            <w:noWrap/>
            <w:vAlign w:val="center"/>
          </w:tcPr>
          <w:p w14:paraId="3F88ED9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rPr>
                <w:rFonts w:hint="eastAsia" w:ascii="楷体_GB2312" w:hAnsi="楷体_GB2312" w:eastAsia="楷体_GB2312" w:cs="楷体_GB2312"/>
                <w:b/>
                <w:bCs/>
                <w:sz w:val="24"/>
                <w:lang w:val="en-US" w:eastAsia="zh-CN"/>
              </w:rPr>
            </w:pPr>
            <w:r>
              <w:rPr>
                <w:rFonts w:hint="eastAsia" w:ascii="楷体_GB2312" w:hAnsi="楷体_GB2312" w:eastAsia="楷体_GB2312" w:cs="楷体_GB2312"/>
                <w:b/>
                <w:bCs/>
                <w:sz w:val="24"/>
                <w:lang w:val="en-US" w:eastAsia="zh-CN"/>
              </w:rPr>
              <w:t>长林4号</w:t>
            </w:r>
          </w:p>
        </w:tc>
        <w:tc>
          <w:tcPr>
            <w:tcW w:w="695" w:type="pct"/>
            <w:shd w:val="clear" w:color="auto" w:fill="auto"/>
            <w:noWrap/>
            <w:vAlign w:val="center"/>
          </w:tcPr>
          <w:p w14:paraId="27D4759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rPr>
                <w:rFonts w:hint="eastAsia" w:ascii="楷体_GB2312" w:hAnsi="楷体_GB2312" w:eastAsia="楷体_GB2312" w:cs="楷体_GB2312"/>
                <w:b/>
                <w:bCs/>
                <w:sz w:val="24"/>
                <w:lang w:val="en-US" w:eastAsia="zh-CN"/>
              </w:rPr>
            </w:pPr>
            <w:r>
              <w:rPr>
                <w:rFonts w:hint="eastAsia" w:ascii="楷体_GB2312" w:hAnsi="楷体_GB2312" w:eastAsia="楷体_GB2312" w:cs="楷体_GB2312"/>
                <w:b/>
                <w:bCs/>
                <w:sz w:val="24"/>
                <w:lang w:val="en-US" w:eastAsia="zh-CN"/>
              </w:rPr>
              <w:t>总计</w:t>
            </w:r>
          </w:p>
        </w:tc>
      </w:tr>
      <w:tr w14:paraId="372AB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491" w:type="pct"/>
            <w:shd w:val="clear" w:color="auto" w:fill="auto"/>
            <w:noWrap/>
            <w:vAlign w:val="center"/>
          </w:tcPr>
          <w:p w14:paraId="0F4D2CE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_GB2312" w:hAnsi="楷体_GB2312" w:eastAsia="楷体_GB2312" w:cs="楷体_GB2312"/>
                <w:b/>
                <w:bCs/>
                <w:sz w:val="24"/>
                <w:lang w:val="en-US" w:eastAsia="zh-CN" w:bidi="ar"/>
              </w:rPr>
            </w:pPr>
            <w:r>
              <w:rPr>
                <w:rFonts w:hint="eastAsia" w:ascii="楷体_GB2312" w:hAnsi="楷体_GB2312" w:eastAsia="楷体_GB2312" w:cs="楷体_GB2312"/>
                <w:b/>
                <w:bCs/>
                <w:spacing w:val="0"/>
                <w:w w:val="100"/>
                <w:kern w:val="0"/>
                <w:sz w:val="24"/>
                <w:szCs w:val="22"/>
                <w:lang w:val="en-US" w:eastAsia="zh-CN" w:bidi="ar"/>
              </w:rPr>
              <w:t>1</w:t>
            </w:r>
          </w:p>
        </w:tc>
        <w:tc>
          <w:tcPr>
            <w:tcW w:w="729" w:type="pct"/>
            <w:shd w:val="clear" w:color="auto" w:fill="auto"/>
            <w:noWrap/>
            <w:vAlign w:val="center"/>
          </w:tcPr>
          <w:p w14:paraId="2E369A4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_GB2312" w:hAnsi="楷体_GB2312" w:eastAsia="楷体_GB2312" w:cs="楷体_GB2312"/>
                <w:b/>
                <w:bCs/>
                <w:sz w:val="24"/>
                <w:lang w:val="en-US" w:eastAsia="zh-CN" w:bidi="ar"/>
              </w:rPr>
            </w:pPr>
            <w:r>
              <w:rPr>
                <w:rFonts w:hint="eastAsia" w:ascii="楷体_GB2312" w:hAnsi="楷体_GB2312" w:eastAsia="楷体_GB2312" w:cs="楷体_GB2312"/>
                <w:b/>
                <w:bCs/>
                <w:spacing w:val="0"/>
                <w:w w:val="100"/>
                <w:kern w:val="0"/>
                <w:sz w:val="24"/>
                <w:szCs w:val="22"/>
                <w:lang w:val="en-US" w:eastAsia="zh-CN" w:bidi="ar"/>
              </w:rPr>
              <w:t>白石镇</w:t>
            </w:r>
          </w:p>
        </w:tc>
        <w:tc>
          <w:tcPr>
            <w:tcW w:w="613" w:type="pct"/>
            <w:shd w:val="clear" w:color="auto" w:fill="auto"/>
            <w:noWrap/>
            <w:vAlign w:val="center"/>
          </w:tcPr>
          <w:p w14:paraId="46696354">
            <w:pPr>
              <w:widowControl w:val="0"/>
              <w:spacing w:after="0" w:line="240" w:lineRule="auto"/>
              <w:ind w:firstLine="0" w:firstLineChars="0"/>
              <w:jc w:val="center"/>
              <w:rPr>
                <w:rFonts w:hint="eastAsia" w:ascii="楷体_GB2312" w:hAnsi="楷体_GB2312" w:eastAsia="楷体_GB2312" w:cs="楷体_GB2312"/>
                <w:b/>
                <w:bCs/>
                <w:sz w:val="24"/>
                <w:lang w:val="en-US" w:eastAsia="zh-CN" w:bidi="ar"/>
              </w:rPr>
            </w:pPr>
          </w:p>
        </w:tc>
        <w:tc>
          <w:tcPr>
            <w:tcW w:w="1448" w:type="dxa"/>
            <w:shd w:val="clear" w:color="auto" w:fill="auto"/>
            <w:noWrap/>
            <w:vAlign w:val="center"/>
          </w:tcPr>
          <w:p w14:paraId="28BCA317">
            <w:pPr>
              <w:keepNext w:val="0"/>
              <w:keepLines w:val="0"/>
              <w:widowControl w:val="0"/>
              <w:suppressLineNumbers w:val="0"/>
              <w:spacing w:after="0" w:line="240" w:lineRule="auto"/>
              <w:ind w:firstLine="0" w:firstLineChars="0"/>
              <w:jc w:val="center"/>
              <w:textAlignment w:val="auto"/>
              <w:rPr>
                <w:rFonts w:hint="eastAsia" w:ascii="楷体_GB2312" w:hAnsi="楷体_GB2312" w:eastAsia="楷体_GB2312" w:cs="楷体_GB2312"/>
                <w:b/>
                <w:bCs/>
                <w:sz w:val="24"/>
                <w:lang w:val="en-US" w:eastAsia="zh-CN" w:bidi="ar"/>
              </w:rPr>
            </w:pPr>
            <w:r>
              <w:rPr>
                <w:rFonts w:hint="eastAsia" w:ascii="楷体_GB2312" w:hAnsi="楷体_GB2312" w:eastAsia="楷体_GB2312" w:cs="楷体_GB2312"/>
                <w:b/>
                <w:bCs/>
                <w:i w:val="0"/>
                <w:iCs w:val="0"/>
                <w:kern w:val="0"/>
                <w:sz w:val="24"/>
                <w:szCs w:val="22"/>
                <w:u w:val="none"/>
                <w:lang w:val="en-US" w:eastAsia="zh-CN" w:bidi="ar"/>
              </w:rPr>
              <w:t>23869</w:t>
            </w:r>
          </w:p>
        </w:tc>
        <w:tc>
          <w:tcPr>
            <w:tcW w:w="1448" w:type="dxa"/>
            <w:shd w:val="clear" w:color="auto" w:fill="auto"/>
            <w:noWrap/>
            <w:vAlign w:val="center"/>
          </w:tcPr>
          <w:p w14:paraId="6F4414EE">
            <w:pPr>
              <w:keepNext w:val="0"/>
              <w:keepLines w:val="0"/>
              <w:widowControl w:val="0"/>
              <w:suppressLineNumbers w:val="0"/>
              <w:spacing w:after="0" w:line="240" w:lineRule="auto"/>
              <w:ind w:firstLine="0" w:firstLineChars="0"/>
              <w:jc w:val="center"/>
              <w:textAlignment w:val="auto"/>
              <w:rPr>
                <w:rFonts w:hint="eastAsia" w:ascii="楷体_GB2312" w:hAnsi="楷体_GB2312" w:eastAsia="楷体_GB2312" w:cs="楷体_GB2312"/>
                <w:b/>
                <w:bCs/>
                <w:sz w:val="24"/>
                <w:lang w:val="en-US" w:eastAsia="zh-CN" w:bidi="ar"/>
              </w:rPr>
            </w:pPr>
            <w:r>
              <w:rPr>
                <w:rFonts w:hint="eastAsia" w:ascii="楷体_GB2312" w:hAnsi="楷体_GB2312" w:eastAsia="楷体_GB2312" w:cs="楷体_GB2312"/>
                <w:b/>
                <w:bCs/>
                <w:i w:val="0"/>
                <w:iCs w:val="0"/>
                <w:kern w:val="0"/>
                <w:sz w:val="24"/>
                <w:szCs w:val="22"/>
                <w:u w:val="none"/>
                <w:lang w:val="en-US" w:eastAsia="zh-CN" w:bidi="ar"/>
              </w:rPr>
              <w:t>11934</w:t>
            </w:r>
          </w:p>
        </w:tc>
        <w:tc>
          <w:tcPr>
            <w:tcW w:w="1313" w:type="dxa"/>
            <w:shd w:val="clear" w:color="auto" w:fill="auto"/>
            <w:noWrap/>
            <w:vAlign w:val="center"/>
          </w:tcPr>
          <w:p w14:paraId="2E838131">
            <w:pPr>
              <w:keepNext w:val="0"/>
              <w:keepLines w:val="0"/>
              <w:widowControl w:val="0"/>
              <w:suppressLineNumbers w:val="0"/>
              <w:spacing w:after="0" w:line="240" w:lineRule="auto"/>
              <w:ind w:firstLine="0" w:firstLineChars="0"/>
              <w:jc w:val="center"/>
              <w:textAlignment w:val="auto"/>
              <w:rPr>
                <w:rFonts w:hint="eastAsia" w:ascii="楷体_GB2312" w:hAnsi="楷体_GB2312" w:eastAsia="楷体_GB2312" w:cs="楷体_GB2312"/>
                <w:b/>
                <w:bCs/>
                <w:sz w:val="24"/>
                <w:lang w:val="en-US" w:eastAsia="zh-CN" w:bidi="ar"/>
              </w:rPr>
            </w:pPr>
            <w:r>
              <w:rPr>
                <w:rFonts w:hint="eastAsia" w:ascii="楷体_GB2312" w:hAnsi="楷体_GB2312" w:eastAsia="楷体_GB2312" w:cs="楷体_GB2312"/>
                <w:b/>
                <w:bCs/>
                <w:i w:val="0"/>
                <w:iCs w:val="0"/>
                <w:kern w:val="0"/>
                <w:sz w:val="24"/>
                <w:szCs w:val="22"/>
                <w:u w:val="none"/>
                <w:lang w:val="en-US" w:eastAsia="zh-CN" w:bidi="ar"/>
              </w:rPr>
              <w:t>11930</w:t>
            </w:r>
          </w:p>
        </w:tc>
        <w:tc>
          <w:tcPr>
            <w:tcW w:w="1185" w:type="dxa"/>
            <w:shd w:val="clear" w:color="auto" w:fill="auto"/>
            <w:noWrap/>
            <w:vAlign w:val="center"/>
          </w:tcPr>
          <w:p w14:paraId="7E405EC3">
            <w:pPr>
              <w:keepNext w:val="0"/>
              <w:keepLines w:val="0"/>
              <w:widowControl w:val="0"/>
              <w:suppressLineNumbers w:val="0"/>
              <w:spacing w:after="0" w:line="240" w:lineRule="auto"/>
              <w:ind w:firstLine="0" w:firstLineChars="0"/>
              <w:jc w:val="center"/>
              <w:textAlignment w:val="auto"/>
              <w:rPr>
                <w:rFonts w:hint="eastAsia" w:ascii="楷体_GB2312" w:hAnsi="楷体_GB2312" w:eastAsia="楷体_GB2312" w:cs="楷体_GB2312"/>
                <w:b/>
                <w:bCs/>
                <w:sz w:val="24"/>
                <w:lang w:val="en-US" w:eastAsia="zh-CN" w:bidi="ar"/>
              </w:rPr>
            </w:pPr>
            <w:r>
              <w:rPr>
                <w:rFonts w:hint="eastAsia" w:ascii="楷体_GB2312" w:hAnsi="楷体_GB2312" w:eastAsia="楷体_GB2312" w:cs="楷体_GB2312"/>
                <w:b/>
                <w:bCs/>
                <w:i w:val="0"/>
                <w:iCs w:val="0"/>
                <w:kern w:val="0"/>
                <w:sz w:val="24"/>
                <w:szCs w:val="22"/>
                <w:u w:val="none"/>
                <w:lang w:val="en-US" w:eastAsia="zh-CN" w:bidi="ar"/>
              </w:rPr>
              <w:t>47733</w:t>
            </w:r>
          </w:p>
        </w:tc>
      </w:tr>
      <w:tr w14:paraId="4B5A2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491" w:type="pct"/>
            <w:shd w:val="clear" w:color="auto" w:fill="auto"/>
            <w:noWrap/>
            <w:vAlign w:val="center"/>
          </w:tcPr>
          <w:p w14:paraId="600A39F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_GB2312" w:hAnsi="楷体_GB2312" w:eastAsia="楷体_GB2312" w:cs="楷体_GB2312"/>
                <w:b w:val="0"/>
                <w:bCs w:val="0"/>
                <w:sz w:val="24"/>
                <w:lang w:val="en-US" w:eastAsia="zh-CN" w:bidi="ar"/>
              </w:rPr>
            </w:pPr>
            <w:r>
              <w:rPr>
                <w:rFonts w:hint="eastAsia" w:ascii="楷体_GB2312" w:hAnsi="楷体_GB2312" w:eastAsia="楷体_GB2312" w:cs="楷体_GB2312"/>
                <w:b w:val="0"/>
                <w:bCs w:val="0"/>
                <w:spacing w:val="0"/>
                <w:w w:val="100"/>
                <w:kern w:val="0"/>
                <w:sz w:val="24"/>
                <w:szCs w:val="22"/>
                <w:lang w:val="en-US" w:eastAsia="zh-CN" w:bidi="ar"/>
              </w:rPr>
              <w:t>（1）</w:t>
            </w:r>
          </w:p>
        </w:tc>
        <w:tc>
          <w:tcPr>
            <w:tcW w:w="729" w:type="pct"/>
            <w:shd w:val="clear" w:color="auto" w:fill="auto"/>
            <w:noWrap/>
            <w:vAlign w:val="center"/>
          </w:tcPr>
          <w:p w14:paraId="02D105A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_GB2312" w:hAnsi="楷体_GB2312" w:eastAsia="楷体_GB2312" w:cs="楷体_GB2312"/>
                <w:b w:val="0"/>
                <w:bCs w:val="0"/>
                <w:sz w:val="24"/>
                <w:lang w:val="en-US" w:eastAsia="zh-CN" w:bidi="ar"/>
              </w:rPr>
            </w:pPr>
          </w:p>
        </w:tc>
        <w:tc>
          <w:tcPr>
            <w:tcW w:w="613" w:type="pct"/>
            <w:shd w:val="clear" w:color="auto" w:fill="auto"/>
            <w:noWrap/>
            <w:vAlign w:val="center"/>
          </w:tcPr>
          <w:p w14:paraId="583C78A0">
            <w:pPr>
              <w:keepNext w:val="0"/>
              <w:keepLines w:val="0"/>
              <w:widowControl w:val="0"/>
              <w:suppressLineNumbers w:val="0"/>
              <w:spacing w:after="0" w:line="240" w:lineRule="auto"/>
              <w:ind w:firstLine="0" w:firstLineChars="0"/>
              <w:jc w:val="center"/>
              <w:textAlignment w:val="auto"/>
              <w:rPr>
                <w:rFonts w:hint="eastAsia" w:ascii="楷体_GB2312" w:hAnsi="楷体_GB2312" w:eastAsia="楷体_GB2312" w:cs="楷体_GB2312"/>
                <w:b w:val="0"/>
                <w:bCs w:val="0"/>
                <w:sz w:val="24"/>
                <w:lang w:val="en-US" w:eastAsia="zh-CN" w:bidi="ar"/>
              </w:rPr>
            </w:pPr>
            <w:r>
              <w:rPr>
                <w:rFonts w:hint="eastAsia" w:ascii="楷体_GB2312" w:hAnsi="楷体_GB2312" w:eastAsia="楷体_GB2312" w:cs="楷体_GB2312"/>
                <w:i w:val="0"/>
                <w:iCs w:val="0"/>
                <w:kern w:val="0"/>
                <w:sz w:val="24"/>
                <w:szCs w:val="22"/>
                <w:u w:val="none"/>
                <w:lang w:val="en-US" w:eastAsia="zh-CN" w:bidi="ar"/>
              </w:rPr>
              <w:t>十八里村</w:t>
            </w:r>
          </w:p>
        </w:tc>
        <w:tc>
          <w:tcPr>
            <w:tcW w:w="849" w:type="pct"/>
            <w:shd w:val="clear" w:color="auto" w:fill="auto"/>
            <w:noWrap/>
            <w:vAlign w:val="center"/>
          </w:tcPr>
          <w:p w14:paraId="49149E60">
            <w:pPr>
              <w:keepNext w:val="0"/>
              <w:keepLines w:val="0"/>
              <w:widowControl w:val="0"/>
              <w:suppressLineNumbers w:val="0"/>
              <w:spacing w:after="0" w:line="240" w:lineRule="auto"/>
              <w:ind w:firstLine="0" w:firstLineChars="0"/>
              <w:jc w:val="center"/>
              <w:textAlignment w:val="auto"/>
              <w:rPr>
                <w:rFonts w:hint="eastAsia" w:ascii="楷体_GB2312" w:hAnsi="楷体_GB2312" w:eastAsia="楷体_GB2312" w:cs="楷体_GB2312"/>
                <w:b w:val="0"/>
                <w:bCs w:val="0"/>
                <w:sz w:val="24"/>
                <w:lang w:val="en-US" w:eastAsia="zh-CN" w:bidi="ar"/>
              </w:rPr>
            </w:pPr>
            <w:r>
              <w:rPr>
                <w:rFonts w:hint="eastAsia" w:ascii="楷体_GB2312" w:hAnsi="楷体_GB2312" w:eastAsia="楷体_GB2312" w:cs="楷体_GB2312"/>
                <w:i w:val="0"/>
                <w:iCs w:val="0"/>
                <w:kern w:val="0"/>
                <w:sz w:val="24"/>
                <w:szCs w:val="22"/>
                <w:u w:val="none"/>
                <w:lang w:val="en-US" w:eastAsia="zh-CN" w:bidi="ar"/>
              </w:rPr>
              <w:t>3645</w:t>
            </w:r>
          </w:p>
        </w:tc>
        <w:tc>
          <w:tcPr>
            <w:tcW w:w="849" w:type="pct"/>
            <w:shd w:val="clear" w:color="auto" w:fill="auto"/>
            <w:noWrap/>
            <w:vAlign w:val="center"/>
          </w:tcPr>
          <w:p w14:paraId="57260B5F">
            <w:pPr>
              <w:keepNext w:val="0"/>
              <w:keepLines w:val="0"/>
              <w:widowControl w:val="0"/>
              <w:suppressLineNumbers w:val="0"/>
              <w:spacing w:after="0" w:line="240" w:lineRule="auto"/>
              <w:ind w:firstLine="0" w:firstLineChars="0"/>
              <w:jc w:val="center"/>
              <w:textAlignment w:val="auto"/>
              <w:rPr>
                <w:rFonts w:hint="eastAsia" w:ascii="楷体_GB2312" w:hAnsi="楷体_GB2312" w:eastAsia="楷体_GB2312" w:cs="楷体_GB2312"/>
                <w:b w:val="0"/>
                <w:bCs w:val="0"/>
                <w:sz w:val="24"/>
                <w:lang w:val="en-US" w:eastAsia="zh-CN" w:bidi="ar"/>
              </w:rPr>
            </w:pPr>
            <w:r>
              <w:rPr>
                <w:rFonts w:hint="eastAsia" w:ascii="楷体_GB2312" w:hAnsi="楷体_GB2312" w:eastAsia="楷体_GB2312" w:cs="楷体_GB2312"/>
                <w:i w:val="0"/>
                <w:iCs w:val="0"/>
                <w:kern w:val="0"/>
                <w:sz w:val="24"/>
                <w:szCs w:val="22"/>
                <w:u w:val="none"/>
                <w:lang w:val="en-US" w:eastAsia="zh-CN" w:bidi="ar"/>
              </w:rPr>
              <w:t>1822</w:t>
            </w:r>
          </w:p>
        </w:tc>
        <w:tc>
          <w:tcPr>
            <w:tcW w:w="770" w:type="pct"/>
            <w:shd w:val="clear" w:color="auto" w:fill="auto"/>
            <w:noWrap/>
            <w:vAlign w:val="center"/>
          </w:tcPr>
          <w:p w14:paraId="470E6414">
            <w:pPr>
              <w:keepNext w:val="0"/>
              <w:keepLines w:val="0"/>
              <w:widowControl w:val="0"/>
              <w:suppressLineNumbers w:val="0"/>
              <w:spacing w:after="0" w:line="240" w:lineRule="auto"/>
              <w:ind w:firstLine="0" w:firstLineChars="0"/>
              <w:jc w:val="center"/>
              <w:textAlignment w:val="auto"/>
              <w:rPr>
                <w:rFonts w:hint="eastAsia" w:ascii="楷体_GB2312" w:hAnsi="楷体_GB2312" w:eastAsia="楷体_GB2312" w:cs="楷体_GB2312"/>
                <w:b w:val="0"/>
                <w:bCs w:val="0"/>
                <w:sz w:val="24"/>
                <w:lang w:val="en-US" w:eastAsia="zh-CN" w:bidi="ar"/>
              </w:rPr>
            </w:pPr>
            <w:r>
              <w:rPr>
                <w:rFonts w:hint="eastAsia" w:ascii="楷体_GB2312" w:hAnsi="楷体_GB2312" w:eastAsia="楷体_GB2312" w:cs="楷体_GB2312"/>
                <w:i w:val="0"/>
                <w:iCs w:val="0"/>
                <w:kern w:val="0"/>
                <w:sz w:val="24"/>
                <w:szCs w:val="22"/>
                <w:u w:val="none"/>
                <w:lang w:val="en-US" w:eastAsia="zh-CN" w:bidi="ar"/>
              </w:rPr>
              <w:t>1820</w:t>
            </w:r>
          </w:p>
        </w:tc>
        <w:tc>
          <w:tcPr>
            <w:tcW w:w="695" w:type="pct"/>
            <w:shd w:val="clear" w:color="auto" w:fill="auto"/>
            <w:noWrap/>
            <w:vAlign w:val="center"/>
          </w:tcPr>
          <w:p w14:paraId="762F00E8">
            <w:pPr>
              <w:keepNext w:val="0"/>
              <w:keepLines w:val="0"/>
              <w:widowControl w:val="0"/>
              <w:suppressLineNumbers w:val="0"/>
              <w:spacing w:after="0" w:line="240" w:lineRule="auto"/>
              <w:ind w:firstLine="0" w:firstLineChars="0"/>
              <w:jc w:val="center"/>
              <w:textAlignment w:val="auto"/>
              <w:rPr>
                <w:rFonts w:hint="eastAsia" w:ascii="楷体_GB2312" w:hAnsi="楷体_GB2312" w:eastAsia="楷体_GB2312" w:cs="楷体_GB2312"/>
                <w:b w:val="0"/>
                <w:bCs w:val="0"/>
                <w:sz w:val="24"/>
                <w:lang w:val="en-US" w:eastAsia="zh-CN" w:bidi="ar"/>
              </w:rPr>
            </w:pPr>
            <w:r>
              <w:rPr>
                <w:rFonts w:hint="eastAsia" w:ascii="楷体_GB2312" w:hAnsi="楷体_GB2312" w:eastAsia="楷体_GB2312" w:cs="楷体_GB2312"/>
                <w:b w:val="0"/>
                <w:bCs w:val="0"/>
                <w:i w:val="0"/>
                <w:iCs w:val="0"/>
                <w:kern w:val="0"/>
                <w:sz w:val="24"/>
                <w:szCs w:val="22"/>
                <w:u w:val="none"/>
                <w:lang w:val="en-US" w:eastAsia="zh-CN" w:bidi="ar"/>
              </w:rPr>
              <w:t>7287</w:t>
            </w:r>
          </w:p>
        </w:tc>
      </w:tr>
      <w:tr w14:paraId="68DE7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491" w:type="pct"/>
            <w:shd w:val="clear" w:color="auto" w:fill="auto"/>
            <w:noWrap/>
            <w:vAlign w:val="center"/>
          </w:tcPr>
          <w:p w14:paraId="75032D8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_GB2312" w:hAnsi="楷体_GB2312" w:eastAsia="楷体_GB2312" w:cs="楷体_GB2312"/>
                <w:b w:val="0"/>
                <w:bCs w:val="0"/>
                <w:sz w:val="24"/>
                <w:lang w:val="en-US" w:eastAsia="zh-CN" w:bidi="ar"/>
              </w:rPr>
            </w:pPr>
            <w:r>
              <w:rPr>
                <w:rFonts w:hint="eastAsia" w:ascii="楷体_GB2312" w:hAnsi="楷体_GB2312" w:eastAsia="楷体_GB2312" w:cs="楷体_GB2312"/>
                <w:b w:val="0"/>
                <w:bCs w:val="0"/>
                <w:spacing w:val="0"/>
                <w:w w:val="100"/>
                <w:kern w:val="0"/>
                <w:sz w:val="24"/>
                <w:szCs w:val="22"/>
                <w:lang w:val="en-US" w:eastAsia="zh-CN" w:bidi="ar"/>
              </w:rPr>
              <w:t>（2）</w:t>
            </w:r>
          </w:p>
        </w:tc>
        <w:tc>
          <w:tcPr>
            <w:tcW w:w="729" w:type="pct"/>
            <w:shd w:val="clear" w:color="auto" w:fill="auto"/>
            <w:noWrap/>
            <w:vAlign w:val="center"/>
          </w:tcPr>
          <w:p w14:paraId="0F8911E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_GB2312" w:hAnsi="楷体_GB2312" w:eastAsia="楷体_GB2312" w:cs="楷体_GB2312"/>
                <w:b w:val="0"/>
                <w:bCs w:val="0"/>
                <w:sz w:val="24"/>
                <w:lang w:val="en-US" w:eastAsia="zh-CN" w:bidi="ar"/>
              </w:rPr>
            </w:pPr>
          </w:p>
        </w:tc>
        <w:tc>
          <w:tcPr>
            <w:tcW w:w="613" w:type="pct"/>
            <w:shd w:val="clear" w:color="auto" w:fill="auto"/>
            <w:noWrap/>
            <w:vAlign w:val="center"/>
          </w:tcPr>
          <w:p w14:paraId="5ED93CB9">
            <w:pPr>
              <w:keepNext w:val="0"/>
              <w:keepLines w:val="0"/>
              <w:widowControl w:val="0"/>
              <w:suppressLineNumbers w:val="0"/>
              <w:spacing w:after="0" w:line="240" w:lineRule="auto"/>
              <w:ind w:firstLine="0" w:firstLineChars="0"/>
              <w:jc w:val="center"/>
              <w:textAlignment w:val="auto"/>
              <w:rPr>
                <w:rFonts w:hint="eastAsia" w:ascii="楷体_GB2312" w:hAnsi="楷体_GB2312" w:eastAsia="楷体_GB2312" w:cs="楷体_GB2312"/>
                <w:b w:val="0"/>
                <w:bCs w:val="0"/>
                <w:sz w:val="24"/>
                <w:lang w:val="en-US" w:eastAsia="zh-CN" w:bidi="ar"/>
              </w:rPr>
            </w:pPr>
            <w:r>
              <w:rPr>
                <w:rFonts w:hint="eastAsia" w:ascii="楷体_GB2312" w:hAnsi="楷体_GB2312" w:eastAsia="楷体_GB2312" w:cs="楷体_GB2312"/>
                <w:i w:val="0"/>
                <w:iCs w:val="0"/>
                <w:kern w:val="0"/>
                <w:sz w:val="24"/>
                <w:szCs w:val="22"/>
                <w:u w:val="none"/>
                <w:lang w:val="en-US" w:eastAsia="zh-CN" w:bidi="ar"/>
              </w:rPr>
              <w:t>新塘岭村</w:t>
            </w:r>
          </w:p>
        </w:tc>
        <w:tc>
          <w:tcPr>
            <w:tcW w:w="849" w:type="pct"/>
            <w:shd w:val="clear" w:color="auto" w:fill="auto"/>
            <w:noWrap/>
            <w:vAlign w:val="center"/>
          </w:tcPr>
          <w:p w14:paraId="22D78369">
            <w:pPr>
              <w:keepNext w:val="0"/>
              <w:keepLines w:val="0"/>
              <w:widowControl w:val="0"/>
              <w:suppressLineNumbers w:val="0"/>
              <w:spacing w:after="0" w:line="240" w:lineRule="auto"/>
              <w:ind w:firstLine="0" w:firstLineChars="0"/>
              <w:jc w:val="center"/>
              <w:textAlignment w:val="auto"/>
              <w:rPr>
                <w:rFonts w:hint="eastAsia" w:ascii="楷体_GB2312" w:hAnsi="楷体_GB2312" w:eastAsia="楷体_GB2312" w:cs="楷体_GB2312"/>
                <w:b w:val="0"/>
                <w:bCs w:val="0"/>
                <w:sz w:val="24"/>
                <w:lang w:val="en-US" w:eastAsia="zh-CN" w:bidi="ar"/>
              </w:rPr>
            </w:pPr>
            <w:r>
              <w:rPr>
                <w:rFonts w:hint="eastAsia" w:ascii="楷体_GB2312" w:hAnsi="楷体_GB2312" w:eastAsia="楷体_GB2312" w:cs="楷体_GB2312"/>
                <w:i w:val="0"/>
                <w:iCs w:val="0"/>
                <w:kern w:val="0"/>
                <w:sz w:val="24"/>
                <w:szCs w:val="22"/>
                <w:u w:val="none"/>
                <w:lang w:val="en-US" w:eastAsia="zh-CN" w:bidi="ar"/>
              </w:rPr>
              <w:t>20224</w:t>
            </w:r>
          </w:p>
        </w:tc>
        <w:tc>
          <w:tcPr>
            <w:tcW w:w="849" w:type="pct"/>
            <w:shd w:val="clear" w:color="auto" w:fill="auto"/>
            <w:noWrap/>
            <w:vAlign w:val="center"/>
          </w:tcPr>
          <w:p w14:paraId="5F932466">
            <w:pPr>
              <w:keepNext w:val="0"/>
              <w:keepLines w:val="0"/>
              <w:widowControl w:val="0"/>
              <w:suppressLineNumbers w:val="0"/>
              <w:spacing w:after="0" w:line="240" w:lineRule="auto"/>
              <w:ind w:firstLine="0" w:firstLineChars="0"/>
              <w:jc w:val="center"/>
              <w:textAlignment w:val="auto"/>
              <w:rPr>
                <w:rFonts w:hint="eastAsia" w:ascii="楷体_GB2312" w:hAnsi="楷体_GB2312" w:eastAsia="楷体_GB2312" w:cs="楷体_GB2312"/>
                <w:b w:val="0"/>
                <w:bCs w:val="0"/>
                <w:sz w:val="24"/>
                <w:lang w:val="en-US" w:eastAsia="zh-CN" w:bidi="ar"/>
              </w:rPr>
            </w:pPr>
            <w:r>
              <w:rPr>
                <w:rFonts w:hint="eastAsia" w:ascii="楷体_GB2312" w:hAnsi="楷体_GB2312" w:eastAsia="楷体_GB2312" w:cs="楷体_GB2312"/>
                <w:i w:val="0"/>
                <w:iCs w:val="0"/>
                <w:kern w:val="0"/>
                <w:sz w:val="24"/>
                <w:szCs w:val="22"/>
                <w:u w:val="none"/>
                <w:lang w:val="en-US" w:eastAsia="zh-CN" w:bidi="ar"/>
              </w:rPr>
              <w:t>10112</w:t>
            </w:r>
          </w:p>
        </w:tc>
        <w:tc>
          <w:tcPr>
            <w:tcW w:w="770" w:type="pct"/>
            <w:shd w:val="clear" w:color="auto" w:fill="auto"/>
            <w:noWrap/>
            <w:vAlign w:val="center"/>
          </w:tcPr>
          <w:p w14:paraId="0200205E">
            <w:pPr>
              <w:keepNext w:val="0"/>
              <w:keepLines w:val="0"/>
              <w:widowControl w:val="0"/>
              <w:suppressLineNumbers w:val="0"/>
              <w:spacing w:after="0" w:line="240" w:lineRule="auto"/>
              <w:ind w:firstLine="0" w:firstLineChars="0"/>
              <w:jc w:val="center"/>
              <w:textAlignment w:val="auto"/>
              <w:rPr>
                <w:rFonts w:hint="eastAsia" w:ascii="楷体_GB2312" w:hAnsi="楷体_GB2312" w:eastAsia="楷体_GB2312" w:cs="楷体_GB2312"/>
                <w:b w:val="0"/>
                <w:bCs w:val="0"/>
                <w:sz w:val="24"/>
                <w:lang w:val="en-US" w:eastAsia="zh-CN" w:bidi="ar"/>
              </w:rPr>
            </w:pPr>
            <w:r>
              <w:rPr>
                <w:rFonts w:hint="eastAsia" w:ascii="楷体_GB2312" w:hAnsi="楷体_GB2312" w:eastAsia="楷体_GB2312" w:cs="楷体_GB2312"/>
                <w:i w:val="0"/>
                <w:iCs w:val="0"/>
                <w:kern w:val="0"/>
                <w:sz w:val="24"/>
                <w:szCs w:val="22"/>
                <w:u w:val="none"/>
                <w:lang w:val="en-US" w:eastAsia="zh-CN" w:bidi="ar"/>
              </w:rPr>
              <w:t>10110</w:t>
            </w:r>
          </w:p>
        </w:tc>
        <w:tc>
          <w:tcPr>
            <w:tcW w:w="695" w:type="pct"/>
            <w:shd w:val="clear" w:color="auto" w:fill="auto"/>
            <w:noWrap/>
            <w:vAlign w:val="center"/>
          </w:tcPr>
          <w:p w14:paraId="4E44111D">
            <w:pPr>
              <w:keepNext w:val="0"/>
              <w:keepLines w:val="0"/>
              <w:widowControl w:val="0"/>
              <w:suppressLineNumbers w:val="0"/>
              <w:spacing w:after="0" w:line="240" w:lineRule="auto"/>
              <w:ind w:firstLine="0" w:firstLineChars="0"/>
              <w:jc w:val="center"/>
              <w:textAlignment w:val="auto"/>
              <w:rPr>
                <w:rFonts w:hint="eastAsia" w:ascii="楷体_GB2312" w:hAnsi="楷体_GB2312" w:eastAsia="楷体_GB2312" w:cs="楷体_GB2312"/>
                <w:b w:val="0"/>
                <w:bCs w:val="0"/>
                <w:sz w:val="24"/>
                <w:lang w:val="en-US" w:eastAsia="zh-CN" w:bidi="ar"/>
              </w:rPr>
            </w:pPr>
            <w:r>
              <w:rPr>
                <w:rFonts w:hint="eastAsia" w:ascii="楷体_GB2312" w:hAnsi="楷体_GB2312" w:eastAsia="楷体_GB2312" w:cs="楷体_GB2312"/>
                <w:b w:val="0"/>
                <w:bCs w:val="0"/>
                <w:i w:val="0"/>
                <w:iCs w:val="0"/>
                <w:kern w:val="0"/>
                <w:sz w:val="24"/>
                <w:szCs w:val="22"/>
                <w:u w:val="none"/>
                <w:lang w:val="en-US" w:eastAsia="zh-CN" w:bidi="ar"/>
              </w:rPr>
              <w:t>40446</w:t>
            </w:r>
          </w:p>
        </w:tc>
      </w:tr>
    </w:tbl>
    <w:p w14:paraId="233887E6">
      <w:pPr>
        <w:pStyle w:val="4"/>
        <w:pageBreakBefore w:val="0"/>
        <w:widowControl w:val="0"/>
        <w:kinsoku/>
        <w:wordWrap/>
        <w:overflowPunct/>
        <w:topLinePunct w:val="0"/>
        <w:bidi w:val="0"/>
        <w:rPr>
          <w:rFonts w:hint="eastAsia" w:ascii="楷体" w:hAnsi="楷体" w:eastAsia="楷体" w:cs="楷体"/>
          <w:lang w:val="en-US" w:eastAsia="zh-CN"/>
        </w:rPr>
      </w:pPr>
      <w:r>
        <w:rPr>
          <w:rFonts w:hint="eastAsia" w:ascii="楷体" w:hAnsi="楷体" w:eastAsia="楷体" w:cs="楷体"/>
          <w:lang w:val="en-US" w:eastAsia="zh-CN"/>
        </w:rPr>
        <w:t>3.7.2种苗规格</w:t>
      </w:r>
    </w:p>
    <w:p w14:paraId="77872D8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401" w:name="_Toc28836"/>
      <w:bookmarkStart w:id="402" w:name="_Toc10736"/>
      <w:bookmarkStart w:id="403" w:name="_Toc4566"/>
      <w:bookmarkStart w:id="404" w:name="_Toc11038"/>
      <w:r>
        <w:rPr>
          <w:rFonts w:hint="eastAsia" w:ascii="Times New Roman" w:hAnsi="Times New Roman" w:eastAsia="仿宋_GB2312" w:cs="Times New Roman"/>
          <w:bCs/>
          <w:kern w:val="0"/>
          <w:sz w:val="28"/>
          <w:szCs w:val="28"/>
          <w:lang w:val="en-US" w:eastAsia="zh-CN"/>
        </w:rPr>
        <w:t>选择2年生容器苗造林，轻基质容器苗为营造油茶林的首选苗，油茶品种选择长林53号、长林40号或长林4号作为主栽品种，品种纯度要求达到100%。2年生苗木要求苗高40cm以上，地径0.35cm以上，有完整侧根。苗木生长势旺，芽饱满，无明显病虫害。</w:t>
      </w:r>
      <w:bookmarkEnd w:id="401"/>
      <w:bookmarkEnd w:id="402"/>
      <w:bookmarkEnd w:id="403"/>
      <w:bookmarkEnd w:id="404"/>
    </w:p>
    <w:p w14:paraId="5B98EF42">
      <w:pPr>
        <w:pStyle w:val="4"/>
        <w:pageBreakBefore w:val="0"/>
        <w:widowControl w:val="0"/>
        <w:kinsoku/>
        <w:wordWrap/>
        <w:overflowPunct/>
        <w:topLinePunct w:val="0"/>
        <w:autoSpaceDE/>
        <w:autoSpaceDN/>
        <w:bidi w:val="0"/>
        <w:adjustRightInd/>
        <w:snapToGrid/>
        <w:textAlignment w:val="auto"/>
        <w:rPr>
          <w:rFonts w:hint="default" w:ascii="楷体" w:hAnsi="楷体" w:eastAsia="楷体" w:cs="楷体"/>
          <w:lang w:val="en-US" w:eastAsia="zh-CN"/>
        </w:rPr>
      </w:pPr>
      <w:r>
        <w:rPr>
          <w:rFonts w:hint="default" w:ascii="楷体" w:hAnsi="楷体" w:eastAsia="楷体" w:cs="楷体"/>
          <w:lang w:val="en-US" w:eastAsia="zh-CN"/>
        </w:rPr>
        <w:t>3.7.3种苗来源</w:t>
      </w:r>
      <w:bookmarkStart w:id="405" w:name="_Toc3656"/>
      <w:bookmarkStart w:id="406" w:name="_Toc17753"/>
      <w:bookmarkStart w:id="407" w:name="_Toc21426"/>
      <w:bookmarkStart w:id="408" w:name="_Toc2056"/>
    </w:p>
    <w:p w14:paraId="252FF1D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种苗质量是影响造林成活率的关键因素，必须坚持良种壮苗原则，切实搞好种苗地筛选与确定工作</w:t>
      </w:r>
      <w:bookmarkEnd w:id="405"/>
      <w:bookmarkEnd w:id="406"/>
      <w:bookmarkEnd w:id="407"/>
      <w:bookmarkEnd w:id="408"/>
      <w:bookmarkStart w:id="409" w:name="_Toc24214"/>
      <w:bookmarkStart w:id="410" w:name="_Toc31014"/>
      <w:bookmarkStart w:id="411" w:name="_Toc25918"/>
      <w:bookmarkStart w:id="412" w:name="_Toc12630"/>
      <w:r>
        <w:rPr>
          <w:rFonts w:hint="eastAsia" w:ascii="Times New Roman" w:hAnsi="Times New Roman" w:eastAsia="仿宋_GB2312" w:cs="Times New Roman"/>
          <w:bCs/>
          <w:kern w:val="0"/>
          <w:sz w:val="28"/>
          <w:szCs w:val="28"/>
          <w:lang w:val="en-US" w:eastAsia="zh-CN"/>
        </w:rPr>
        <w:t>。</w:t>
      </w:r>
      <w:bookmarkEnd w:id="409"/>
      <w:bookmarkEnd w:id="410"/>
      <w:bookmarkEnd w:id="411"/>
      <w:bookmarkEnd w:id="412"/>
      <w:r>
        <w:rPr>
          <w:rFonts w:hint="eastAsia" w:ascii="Times New Roman" w:hAnsi="Times New Roman" w:eastAsia="仿宋_GB2312" w:cs="Times New Roman"/>
          <w:bCs/>
          <w:kern w:val="0"/>
          <w:sz w:val="28"/>
          <w:szCs w:val="28"/>
          <w:lang w:val="en-US" w:eastAsia="zh-CN"/>
        </w:rPr>
        <w:t>严格出圃前质检和检疫，造林苗木须具有“三证一签”（生产经营许可证、良种证、检疫证、品种标签）。</w:t>
      </w:r>
    </w:p>
    <w:p w14:paraId="27B8BC86">
      <w:pPr>
        <w:pStyle w:val="4"/>
        <w:keepNext/>
        <w:keepLines/>
        <w:pageBreakBefore w:val="0"/>
        <w:widowControl w:val="0"/>
        <w:kinsoku/>
        <w:wordWrap/>
        <w:overflowPunct/>
        <w:topLinePunct w:val="0"/>
        <w:autoSpaceDE/>
        <w:autoSpaceDN/>
        <w:bidi w:val="0"/>
        <w:adjustRightInd/>
        <w:snapToGrid/>
        <w:spacing w:before="50" w:after="100"/>
        <w:textAlignment w:val="auto"/>
        <w:rPr>
          <w:rFonts w:hint="eastAsia" w:ascii="楷体" w:hAnsi="楷体" w:eastAsia="楷体" w:cs="楷体"/>
          <w:b/>
          <w:bCs w:val="0"/>
          <w:kern w:val="0"/>
          <w:sz w:val="28"/>
          <w:szCs w:val="22"/>
          <w:lang w:val="en-US" w:eastAsia="zh-CN"/>
        </w:rPr>
      </w:pPr>
      <w:r>
        <w:rPr>
          <w:rFonts w:hint="eastAsia" w:ascii="楷体" w:hAnsi="楷体" w:eastAsia="楷体" w:cs="楷体"/>
          <w:b/>
          <w:bCs w:val="0"/>
          <w:kern w:val="0"/>
          <w:sz w:val="28"/>
          <w:szCs w:val="22"/>
          <w:lang w:val="en-US" w:eastAsia="zh-CN"/>
        </w:rPr>
        <w:t>3.7.4苗木起苗与运输</w:t>
      </w:r>
    </w:p>
    <w:p w14:paraId="1515B413">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bookmarkStart w:id="413" w:name="_Toc12844"/>
      <w:bookmarkStart w:id="414" w:name="_Toc12006"/>
      <w:bookmarkStart w:id="415" w:name="_Toc25885"/>
      <w:bookmarkStart w:id="416" w:name="_Toc14402"/>
      <w:r>
        <w:rPr>
          <w:rFonts w:hint="eastAsia" w:ascii="Times New Roman" w:hAnsi="Times New Roman" w:eastAsia="仿宋_GB2312" w:cs="Times New Roman"/>
          <w:b/>
          <w:bCs w:val="0"/>
          <w:kern w:val="0"/>
          <w:sz w:val="28"/>
          <w:szCs w:val="28"/>
          <w:lang w:val="en-US" w:eastAsia="zh-CN"/>
        </w:rPr>
        <w:t>3.7.4.1起苗</w:t>
      </w:r>
      <w:bookmarkEnd w:id="413"/>
      <w:bookmarkEnd w:id="414"/>
      <w:bookmarkEnd w:id="415"/>
      <w:bookmarkEnd w:id="416"/>
    </w:p>
    <w:p w14:paraId="74BF978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417" w:name="_Toc7267"/>
      <w:bookmarkStart w:id="418" w:name="_Toc26506"/>
      <w:bookmarkStart w:id="419" w:name="_Toc9600"/>
      <w:bookmarkStart w:id="420" w:name="_Toc23782"/>
      <w:r>
        <w:rPr>
          <w:rFonts w:hint="eastAsia" w:ascii="Times New Roman" w:hAnsi="Times New Roman" w:eastAsia="仿宋_GB2312" w:cs="Times New Roman"/>
          <w:bCs/>
          <w:kern w:val="0"/>
          <w:sz w:val="28"/>
          <w:szCs w:val="28"/>
          <w:lang w:val="en-US" w:eastAsia="zh-CN"/>
        </w:rPr>
        <w:t>起苗前一天要淋足水，增加土壤的粘结力。将杯苗直接以单株形式装到车上，要求每株苗之间按品字型竖放，即苗木根部在下，苗梢在上按品字型竖放，以确保车厢前后装满、不留空隙为宜。</w:t>
      </w:r>
      <w:bookmarkEnd w:id="417"/>
      <w:bookmarkEnd w:id="418"/>
      <w:bookmarkEnd w:id="419"/>
      <w:bookmarkEnd w:id="420"/>
    </w:p>
    <w:p w14:paraId="7BF2BB11">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bookmarkStart w:id="421" w:name="_Toc15968"/>
      <w:bookmarkStart w:id="422" w:name="_Toc24445"/>
      <w:bookmarkStart w:id="423" w:name="_Toc11947"/>
      <w:bookmarkStart w:id="424" w:name="_Toc7059"/>
      <w:r>
        <w:rPr>
          <w:rFonts w:hint="eastAsia" w:ascii="Times New Roman" w:hAnsi="Times New Roman" w:eastAsia="仿宋_GB2312" w:cs="Times New Roman"/>
          <w:b/>
          <w:bCs w:val="0"/>
          <w:kern w:val="0"/>
          <w:sz w:val="28"/>
          <w:szCs w:val="28"/>
          <w:lang w:val="en-US" w:eastAsia="zh-CN"/>
        </w:rPr>
        <w:t>3.7.4.2运输</w:t>
      </w:r>
      <w:bookmarkEnd w:id="421"/>
      <w:bookmarkEnd w:id="422"/>
      <w:bookmarkEnd w:id="423"/>
      <w:bookmarkEnd w:id="424"/>
    </w:p>
    <w:p w14:paraId="364D827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425" w:name="_Toc12398"/>
      <w:bookmarkStart w:id="426" w:name="_Toc16031"/>
      <w:bookmarkStart w:id="427" w:name="_Toc31031"/>
      <w:bookmarkStart w:id="428" w:name="_Toc1890"/>
      <w:r>
        <w:rPr>
          <w:rFonts w:hint="eastAsia" w:ascii="Times New Roman" w:hAnsi="Times New Roman" w:eastAsia="仿宋_GB2312" w:cs="Times New Roman"/>
          <w:bCs/>
          <w:kern w:val="0"/>
          <w:sz w:val="28"/>
          <w:szCs w:val="28"/>
          <w:lang w:val="en-US" w:eastAsia="zh-CN"/>
        </w:rPr>
        <w:t>（1）根据“随挖、随运、随栽”原则确定苗木运输时间。应尽量选择在夜间运输，并避免风天运苗，原则上保证随起、随装、随运、随栽。运输途中，行车宜平稳。长途运输树木必须覆盖篷布，并应做好防冻、防晒、防雨、防风等工作。当地调苗和远距离调苗，均要做好保湿措施。 </w:t>
      </w:r>
      <w:bookmarkEnd w:id="425"/>
      <w:bookmarkEnd w:id="426"/>
      <w:bookmarkEnd w:id="427"/>
      <w:bookmarkEnd w:id="428"/>
    </w:p>
    <w:p w14:paraId="158368A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429" w:name="_Toc30940"/>
      <w:bookmarkStart w:id="430" w:name="_Toc29871"/>
      <w:bookmarkStart w:id="431" w:name="_Toc4680"/>
      <w:bookmarkStart w:id="432" w:name="_Toc1745"/>
      <w:r>
        <w:rPr>
          <w:rFonts w:hint="eastAsia" w:ascii="Times New Roman" w:hAnsi="Times New Roman" w:eastAsia="仿宋_GB2312" w:cs="Times New Roman"/>
          <w:bCs/>
          <w:kern w:val="0"/>
          <w:sz w:val="28"/>
          <w:szCs w:val="28"/>
          <w:lang w:val="en-US" w:eastAsia="zh-CN"/>
        </w:rPr>
        <w:t>（2）苗木运输装卸时应做到轻抬、轻卸、轻放，做到苗木根盘无擦伤、撕裂，枝干保持完好，保证树冠的完好。小苗堆放不宜太厚，防止发热伤苗，晴天运输上面宜加盖篷布，以防日晒。</w:t>
      </w:r>
      <w:bookmarkEnd w:id="429"/>
      <w:bookmarkEnd w:id="430"/>
      <w:bookmarkEnd w:id="431"/>
      <w:bookmarkEnd w:id="432"/>
    </w:p>
    <w:p w14:paraId="7D30833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433" w:name="_Toc4810"/>
      <w:bookmarkStart w:id="434" w:name="_Toc31006"/>
      <w:bookmarkStart w:id="435" w:name="_Toc29119"/>
      <w:bookmarkStart w:id="436" w:name="_Toc7776"/>
      <w:r>
        <w:rPr>
          <w:rFonts w:hint="eastAsia" w:ascii="Times New Roman" w:hAnsi="Times New Roman" w:eastAsia="仿宋_GB2312" w:cs="Times New Roman"/>
          <w:bCs/>
          <w:kern w:val="0"/>
          <w:sz w:val="28"/>
          <w:szCs w:val="28"/>
          <w:lang w:val="en-US" w:eastAsia="zh-CN"/>
        </w:rPr>
        <w:t>（3）装卸、托运重点保护苗根。 </w:t>
      </w:r>
      <w:bookmarkEnd w:id="433"/>
      <w:bookmarkEnd w:id="434"/>
      <w:bookmarkEnd w:id="435"/>
      <w:bookmarkEnd w:id="436"/>
    </w:p>
    <w:p w14:paraId="4F0407A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437" w:name="_Toc10970"/>
      <w:bookmarkStart w:id="438" w:name="_Toc7822"/>
      <w:bookmarkStart w:id="439" w:name="_Toc25817"/>
      <w:bookmarkStart w:id="440" w:name="_Toc29886"/>
      <w:r>
        <w:rPr>
          <w:rFonts w:hint="eastAsia" w:ascii="Times New Roman" w:hAnsi="Times New Roman" w:eastAsia="仿宋_GB2312" w:cs="Times New Roman"/>
          <w:bCs/>
          <w:kern w:val="0"/>
          <w:sz w:val="28"/>
          <w:szCs w:val="28"/>
          <w:lang w:val="en-US" w:eastAsia="zh-CN"/>
        </w:rPr>
        <w:t>（4）苗木在运输过程中，要严加保护，确保根系完好，心土不落，土团不散，杆、梢、皮、芽不受损伤，注意防止风干，盖好篷布，防止苗木失水，避免冻害、发热，轻装轻卸，尽量缩短时间。</w:t>
      </w:r>
      <w:bookmarkEnd w:id="437"/>
      <w:bookmarkEnd w:id="438"/>
      <w:bookmarkEnd w:id="439"/>
      <w:bookmarkEnd w:id="440"/>
    </w:p>
    <w:p w14:paraId="599EB2B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441" w:name="_Toc23668"/>
      <w:bookmarkStart w:id="442" w:name="_Toc5355"/>
      <w:bookmarkStart w:id="443" w:name="_Toc25254"/>
      <w:bookmarkStart w:id="444" w:name="_Toc25080"/>
      <w:r>
        <w:rPr>
          <w:rFonts w:hint="eastAsia" w:ascii="Times New Roman" w:hAnsi="Times New Roman" w:eastAsia="仿宋_GB2312" w:cs="Times New Roman"/>
          <w:bCs/>
          <w:kern w:val="0"/>
          <w:sz w:val="28"/>
          <w:szCs w:val="28"/>
          <w:lang w:val="en-US" w:eastAsia="zh-CN"/>
        </w:rPr>
        <w:t>（5）苗木运到造林地后，要从上往下按顺序一层一层进行卸苗，不得乱抽乱拉或整车往下推。</w:t>
      </w:r>
      <w:bookmarkEnd w:id="441"/>
      <w:bookmarkEnd w:id="442"/>
      <w:bookmarkEnd w:id="443"/>
      <w:bookmarkEnd w:id="444"/>
    </w:p>
    <w:p w14:paraId="55F58979">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3.7.5种苗质量检验及检疫</w:t>
      </w:r>
    </w:p>
    <w:p w14:paraId="59EF5DA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445" w:name="_Toc19935"/>
      <w:bookmarkStart w:id="446" w:name="_Toc23361"/>
      <w:bookmarkStart w:id="447" w:name="_Toc13689"/>
      <w:bookmarkStart w:id="448" w:name="_Toc21252"/>
      <w:r>
        <w:rPr>
          <w:rFonts w:hint="eastAsia" w:ascii="Times New Roman" w:hAnsi="Times New Roman" w:eastAsia="仿宋_GB2312" w:cs="Times New Roman"/>
          <w:bCs/>
          <w:kern w:val="0"/>
          <w:sz w:val="28"/>
          <w:szCs w:val="28"/>
          <w:lang w:val="en-US" w:eastAsia="zh-CN"/>
        </w:rPr>
        <w:t>用于造林的苗木均须进行苗木质量检验和产地检疫，并具备“三证一签”（生产经营许可证、良种证、检疫证、品种标签）。外购苗木需在林业主管部门办理报备和报检手续，并注意品种鉴定和质量标准。</w:t>
      </w:r>
      <w:bookmarkEnd w:id="445"/>
      <w:bookmarkEnd w:id="446"/>
      <w:bookmarkEnd w:id="447"/>
      <w:bookmarkEnd w:id="448"/>
    </w:p>
    <w:p w14:paraId="0B9BB4AC">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bookmarkStart w:id="449" w:name="_Toc1243"/>
      <w:bookmarkStart w:id="450" w:name="_Toc19613"/>
      <w:bookmarkStart w:id="451" w:name="_Toc10297"/>
      <w:bookmarkStart w:id="452" w:name="_Toc5148"/>
      <w:r>
        <w:rPr>
          <w:rFonts w:hint="eastAsia" w:ascii="Times New Roman" w:hAnsi="Times New Roman" w:eastAsia="仿宋_GB2312" w:cs="Times New Roman"/>
          <w:b/>
          <w:bCs w:val="0"/>
          <w:kern w:val="0"/>
          <w:sz w:val="28"/>
          <w:szCs w:val="28"/>
          <w:lang w:val="en-US" w:eastAsia="zh-CN"/>
        </w:rPr>
        <w:t>3.7.5.1种苗质量检验</w:t>
      </w:r>
      <w:bookmarkEnd w:id="449"/>
      <w:bookmarkEnd w:id="450"/>
      <w:bookmarkEnd w:id="451"/>
      <w:bookmarkEnd w:id="452"/>
    </w:p>
    <w:p w14:paraId="64BB7DB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453" w:name="_Toc13432"/>
      <w:bookmarkStart w:id="454" w:name="_Toc22795"/>
      <w:bookmarkStart w:id="455" w:name="_Toc27459"/>
      <w:bookmarkStart w:id="456" w:name="_Toc8218"/>
      <w:r>
        <w:rPr>
          <w:rFonts w:hint="eastAsia" w:ascii="Times New Roman" w:hAnsi="Times New Roman" w:eastAsia="仿宋_GB2312" w:cs="Times New Roman"/>
          <w:bCs/>
          <w:kern w:val="0"/>
          <w:sz w:val="28"/>
          <w:szCs w:val="28"/>
          <w:lang w:val="en-US" w:eastAsia="zh-CN"/>
        </w:rPr>
        <w:t>为了提高造林成活率，培育优质稳定的林分，必须严格检查保证造林种苗的质量，种苗质量应符合现行油茶技术标准。</w:t>
      </w:r>
      <w:bookmarkEnd w:id="453"/>
      <w:bookmarkEnd w:id="454"/>
      <w:bookmarkEnd w:id="455"/>
      <w:bookmarkEnd w:id="456"/>
    </w:p>
    <w:p w14:paraId="70EFEFB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457" w:name="_Toc5216"/>
      <w:bookmarkStart w:id="458" w:name="_Toc9097"/>
      <w:bookmarkStart w:id="459" w:name="_Toc2804"/>
      <w:bookmarkStart w:id="460" w:name="_Toc17965"/>
      <w:r>
        <w:rPr>
          <w:rFonts w:hint="eastAsia" w:ascii="Times New Roman" w:hAnsi="Times New Roman" w:eastAsia="仿宋_GB2312" w:cs="Times New Roman"/>
          <w:bCs/>
          <w:kern w:val="0"/>
          <w:sz w:val="28"/>
          <w:szCs w:val="28"/>
          <w:lang w:val="en-US" w:eastAsia="zh-CN"/>
        </w:rPr>
        <w:t>苗木质量检验由苗木生产地所在种苗管理部门进行检验，所检验苗木的质量必须符合相关技术标准，对合格苗木签发苗木质量检验合格证和产地标签。苗木须达到作业设计所规定的规格和质量要求，否则不能用于项目造林。</w:t>
      </w:r>
      <w:bookmarkEnd w:id="457"/>
      <w:bookmarkEnd w:id="458"/>
      <w:bookmarkEnd w:id="459"/>
      <w:bookmarkEnd w:id="460"/>
    </w:p>
    <w:p w14:paraId="294867C3">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bookmarkStart w:id="461" w:name="_Toc27558"/>
      <w:bookmarkStart w:id="462" w:name="_Toc7973"/>
      <w:bookmarkStart w:id="463" w:name="_Toc1469"/>
      <w:bookmarkStart w:id="464" w:name="_Toc8987"/>
      <w:r>
        <w:rPr>
          <w:rFonts w:hint="eastAsia" w:ascii="Times New Roman" w:hAnsi="Times New Roman" w:eastAsia="仿宋_GB2312" w:cs="Times New Roman"/>
          <w:b/>
          <w:bCs w:val="0"/>
          <w:kern w:val="0"/>
          <w:sz w:val="28"/>
          <w:szCs w:val="28"/>
          <w:lang w:val="en-US" w:eastAsia="zh-CN"/>
        </w:rPr>
        <w:t>3.7.5.2苗木检疫</w:t>
      </w:r>
      <w:bookmarkEnd w:id="461"/>
      <w:bookmarkEnd w:id="462"/>
      <w:bookmarkEnd w:id="463"/>
      <w:bookmarkEnd w:id="464"/>
    </w:p>
    <w:p w14:paraId="123DF48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465" w:name="_Toc20621"/>
      <w:bookmarkStart w:id="466" w:name="_Toc5686"/>
      <w:bookmarkStart w:id="467" w:name="_Toc4750"/>
      <w:bookmarkStart w:id="468" w:name="_Toc15233"/>
      <w:r>
        <w:rPr>
          <w:rFonts w:hint="eastAsia" w:ascii="Times New Roman" w:hAnsi="Times New Roman" w:eastAsia="仿宋_GB2312" w:cs="Times New Roman"/>
          <w:bCs/>
          <w:kern w:val="0"/>
          <w:sz w:val="28"/>
          <w:szCs w:val="28"/>
          <w:lang w:val="en-US" w:eastAsia="zh-CN"/>
        </w:rPr>
        <w:t>苗木检疫由苗木生产地所在植物检疫机构进行检验，所检验苗木必须符合植物检疫相关技术规定，对合格苗木签发苗木检疫合格证。所有用于造林的外购苗木，必须具备“三证一签”（生产经营许可证、良种证、检疫证、品种标签），并由当地森防站进行严格的病虫害复检。凡是有病虫害发生的苗木不能用于造林。</w:t>
      </w:r>
      <w:r>
        <w:rPr>
          <w:rFonts w:hint="eastAsia" w:ascii="Times New Roman" w:hAnsi="Times New Roman" w:eastAsia="仿宋_GB2312" w:cs="Times New Roman"/>
          <w:bCs/>
          <w:kern w:val="0"/>
          <w:sz w:val="28"/>
          <w:szCs w:val="28"/>
          <w:lang w:val="en-US" w:eastAsia="zh-CN"/>
        </w:rPr>
        <w:br w:type="page"/>
      </w:r>
      <w:bookmarkEnd w:id="465"/>
      <w:bookmarkEnd w:id="466"/>
      <w:bookmarkEnd w:id="467"/>
      <w:bookmarkEnd w:id="468"/>
    </w:p>
    <w:p w14:paraId="16E05D6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sectPr>
          <w:headerReference r:id="rId16"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3F43B108">
      <w:pPr>
        <w:pStyle w:val="2"/>
        <w:pageBreakBefore w:val="0"/>
        <w:widowControl w:val="0"/>
        <w:kinsoku/>
        <w:wordWrap/>
        <w:overflowPunct/>
        <w:topLinePunct w:val="0"/>
        <w:bidi w:val="0"/>
        <w:snapToGrid/>
        <w:spacing w:before="326" w:beforeLines="100" w:after="326" w:afterLines="100" w:line="360" w:lineRule="auto"/>
        <w:ind w:right="0" w:rightChars="0" w:firstLine="0" w:firstLineChars="0"/>
        <w:jc w:val="center"/>
        <w:rPr>
          <w:rFonts w:hint="default" w:ascii="黑体" w:hAnsi="黑体" w:eastAsia="黑体" w:cs="Times New Roman"/>
          <w:b/>
          <w:bCs w:val="0"/>
          <w:sz w:val="36"/>
          <w:szCs w:val="36"/>
          <w:highlight w:val="none"/>
          <w:lang w:val="en-US" w:eastAsia="zh-CN"/>
        </w:rPr>
      </w:pPr>
      <w:bookmarkStart w:id="469" w:name="_Toc2894"/>
      <w:bookmarkStart w:id="470" w:name="_Toc28349"/>
      <w:bookmarkStart w:id="471" w:name="_Toc32267"/>
      <w:r>
        <w:rPr>
          <w:rFonts w:hint="eastAsia" w:ascii="黑体" w:hAnsi="黑体" w:eastAsia="黑体" w:cs="Times New Roman"/>
          <w:b/>
          <w:bCs w:val="0"/>
          <w:sz w:val="36"/>
          <w:szCs w:val="36"/>
          <w:highlight w:val="none"/>
          <w:lang w:val="en-US" w:eastAsia="zh-CN"/>
        </w:rPr>
        <w:t xml:space="preserve">第四章 </w:t>
      </w:r>
      <w:r>
        <w:rPr>
          <w:rFonts w:hint="eastAsia" w:cs="Times New Roman"/>
          <w:b/>
          <w:bCs w:val="0"/>
          <w:sz w:val="36"/>
          <w:szCs w:val="36"/>
          <w:highlight w:val="none"/>
          <w:lang w:val="en-US" w:eastAsia="zh-CN"/>
        </w:rPr>
        <w:t>水肥一体化</w:t>
      </w:r>
      <w:bookmarkEnd w:id="469"/>
      <w:bookmarkEnd w:id="470"/>
      <w:bookmarkEnd w:id="471"/>
      <w:r>
        <w:rPr>
          <w:rFonts w:hint="eastAsia" w:cs="Times New Roman"/>
          <w:b/>
          <w:bCs w:val="0"/>
          <w:sz w:val="36"/>
          <w:szCs w:val="36"/>
          <w:highlight w:val="none"/>
          <w:lang w:val="en-US" w:eastAsia="zh-CN"/>
        </w:rPr>
        <w:t>方案</w:t>
      </w:r>
    </w:p>
    <w:p w14:paraId="539E1ECB">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472" w:name="_Toc26727"/>
      <w:bookmarkStart w:id="473" w:name="_Toc30758"/>
      <w:bookmarkStart w:id="474" w:name="_Toc8263"/>
      <w:r>
        <w:rPr>
          <w:rFonts w:hint="eastAsia" w:ascii="黑体" w:hAnsi="黑体" w:eastAsia="黑体" w:cs="Times New Roman"/>
          <w:bCs w:val="0"/>
          <w:kern w:val="0"/>
          <w:sz w:val="32"/>
          <w:szCs w:val="32"/>
          <w:lang w:val="en-US" w:eastAsia="zh-CN"/>
        </w:rPr>
        <w:t>4.1设计依据</w:t>
      </w:r>
      <w:bookmarkEnd w:id="472"/>
      <w:bookmarkEnd w:id="473"/>
      <w:bookmarkEnd w:id="474"/>
    </w:p>
    <w:p w14:paraId="6A34FCF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（1）《微灌工程技术标准》（GB/T 50485-2020）；</w:t>
      </w:r>
    </w:p>
    <w:p w14:paraId="2225EC1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（2）《农田灌溉水质标准》（GB 5084-2021）；</w:t>
      </w:r>
    </w:p>
    <w:p w14:paraId="483DEB6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（3）《节水灌溉工程技术标准》（GB/T 50363-2018）；</w:t>
      </w:r>
    </w:p>
    <w:p w14:paraId="28BC791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（4）《灌溉与排水工程设计标准》（GB 50288-2018）；</w:t>
      </w:r>
    </w:p>
    <w:p w14:paraId="4D0B0D4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（5）《灌溉与排水工程技术管理规程》（SL/T 246-2019）；</w:t>
      </w:r>
    </w:p>
    <w:p w14:paraId="641895F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（6）《节水灌溉用塑料管材和管件基本参数及技术条件》（T/CWEC 11—2019）；</w:t>
      </w:r>
    </w:p>
    <w:p w14:paraId="6599BE7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（7）甲方提供相关资料。</w:t>
      </w:r>
    </w:p>
    <w:p w14:paraId="5C6A270B">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475" w:name="_Toc24206"/>
      <w:bookmarkStart w:id="476" w:name="_Toc31373"/>
      <w:bookmarkStart w:id="477" w:name="_Toc16117"/>
      <w:r>
        <w:rPr>
          <w:rFonts w:hint="eastAsia" w:ascii="黑体" w:hAnsi="黑体" w:cs="Times New Roman"/>
          <w:bCs w:val="0"/>
          <w:kern w:val="0"/>
          <w:sz w:val="32"/>
          <w:szCs w:val="32"/>
          <w:lang w:val="en-US" w:eastAsia="zh-CN"/>
        </w:rPr>
        <w:t>4.2</w:t>
      </w:r>
      <w:r>
        <w:rPr>
          <w:rFonts w:hint="eastAsia" w:ascii="黑体" w:hAnsi="黑体" w:eastAsia="黑体" w:cs="Times New Roman"/>
          <w:bCs w:val="0"/>
          <w:kern w:val="0"/>
          <w:sz w:val="32"/>
          <w:szCs w:val="32"/>
          <w:lang w:val="en-US" w:eastAsia="zh-CN"/>
        </w:rPr>
        <w:t>设计思路</w:t>
      </w:r>
      <w:bookmarkEnd w:id="475"/>
      <w:bookmarkEnd w:id="476"/>
      <w:bookmarkEnd w:id="477"/>
    </w:p>
    <w:p w14:paraId="253A1EF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（1）结合甲方提供的信息，进行整体规划设计，根据基地规划安排管道走向和阀门位置等，在满足灌溉的同时，提高管理的方便性和灵活性。</w:t>
      </w:r>
    </w:p>
    <w:p w14:paraId="3F226BC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（2）本次设计基于种植作物类型及需水特点、灌溉方式和经济因素综合考虑，将基地分区，从而提高基地管理的便捷性。</w:t>
      </w:r>
    </w:p>
    <w:p w14:paraId="33B9D61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（3）针对水源不足、高差较大的地块采用高位PE水桶+管道的半自动简易设计方式。</w:t>
      </w:r>
    </w:p>
    <w:p w14:paraId="4E70F12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（4）以经济合理为中心，以分散供水为指导，在系统处于工作状态时，尽量使得各级分干管中均有水体流动，以减小各级管道管径，从而降低系统总造价。</w:t>
      </w:r>
    </w:p>
    <w:p w14:paraId="77484A5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（5）油茶林的灌溉方式选择滴灌，选用内镶贴片式滴灌带（壁厚0.3mm，滴头间距30cm，流量1.00L/h）。</w:t>
      </w:r>
    </w:p>
    <w:p w14:paraId="6AB5687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（6）轮灌区设总阀门分片区控制，轮灌阀门采用电磁阀自动控制，每个轮灌区安装1个电磁阀，并用阀门箱保护。电磁阀均采用太阳能供电。</w:t>
      </w:r>
    </w:p>
    <w:p w14:paraId="78F46B3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（7）作物需水量以5mm/d计，1天为一个轮灌周期，确定主管管径，并进行灌溉分区大小划分。</w:t>
      </w:r>
    </w:p>
    <w:p w14:paraId="50E40C98">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478" w:name="_Toc14997"/>
      <w:bookmarkStart w:id="479" w:name="_Toc2397"/>
      <w:bookmarkStart w:id="480" w:name="_Toc5593"/>
      <w:r>
        <w:rPr>
          <w:rFonts w:hint="eastAsia" w:ascii="黑体" w:hAnsi="黑体" w:cs="Times New Roman"/>
          <w:bCs w:val="0"/>
          <w:kern w:val="0"/>
          <w:sz w:val="32"/>
          <w:szCs w:val="32"/>
          <w:lang w:val="en-US" w:eastAsia="zh-CN"/>
        </w:rPr>
        <w:t>4.3</w:t>
      </w:r>
      <w:r>
        <w:rPr>
          <w:rFonts w:hint="eastAsia" w:ascii="黑体" w:hAnsi="黑体" w:eastAsia="黑体" w:cs="Times New Roman"/>
          <w:bCs w:val="0"/>
          <w:kern w:val="0"/>
          <w:sz w:val="32"/>
          <w:szCs w:val="32"/>
          <w:lang w:val="en-US" w:eastAsia="zh-CN"/>
        </w:rPr>
        <w:t>设计参数</w:t>
      </w:r>
      <w:bookmarkEnd w:id="478"/>
      <w:bookmarkEnd w:id="479"/>
      <w:bookmarkEnd w:id="480"/>
    </w:p>
    <w:p w14:paraId="6CF133F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本项目基本设计参数如下：</w:t>
      </w:r>
    </w:p>
    <w:p w14:paraId="14D29CB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（1）作物日需水量：5mm/d</w:t>
      </w:r>
    </w:p>
    <w:p w14:paraId="16442F4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（2）灌溉周期：1天</w:t>
      </w:r>
    </w:p>
    <w:p w14:paraId="0527D79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（3）灌溉日工作时间：4小时</w:t>
      </w:r>
    </w:p>
    <w:p w14:paraId="52CC3899">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481" w:name="_Toc8786"/>
      <w:bookmarkStart w:id="482" w:name="_Toc30359"/>
      <w:bookmarkStart w:id="483" w:name="_Toc20969"/>
      <w:r>
        <w:rPr>
          <w:rFonts w:hint="eastAsia" w:ascii="黑体" w:hAnsi="黑体" w:cs="Times New Roman"/>
          <w:bCs w:val="0"/>
          <w:kern w:val="0"/>
          <w:sz w:val="32"/>
          <w:szCs w:val="32"/>
          <w:lang w:val="en-US" w:eastAsia="zh-CN"/>
        </w:rPr>
        <w:t>4.4</w:t>
      </w:r>
      <w:r>
        <w:rPr>
          <w:rFonts w:hint="eastAsia" w:ascii="黑体" w:hAnsi="黑体" w:eastAsia="黑体" w:cs="Times New Roman"/>
          <w:bCs w:val="0"/>
          <w:kern w:val="0"/>
          <w:sz w:val="32"/>
          <w:szCs w:val="32"/>
          <w:lang w:val="en-US" w:eastAsia="zh-CN"/>
        </w:rPr>
        <w:t>首部设计</w:t>
      </w:r>
      <w:bookmarkEnd w:id="481"/>
      <w:bookmarkEnd w:id="482"/>
      <w:bookmarkEnd w:id="483"/>
    </w:p>
    <w:p w14:paraId="345A056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本项目每一个水肥灌溉系统均需要建设一座首部系统，建设一座取水泵井。</w:t>
      </w:r>
    </w:p>
    <w:p w14:paraId="37E09E06">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（1）水源</w:t>
      </w:r>
    </w:p>
    <w:p w14:paraId="333A29C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项目周边的水库、山塘及河道，作为水源，水源不足部分可以建设堰坝、山塘等措施蓄水。</w:t>
      </w:r>
    </w:p>
    <w:p w14:paraId="602CEA64">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（2）水泵</w:t>
      </w:r>
    </w:p>
    <w:p w14:paraId="76276B7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潜水泵从河流里抽水灌溉。选用1台多级潜水泵，流量30m</w:t>
      </w:r>
      <w:r>
        <w:rPr>
          <w:rFonts w:hint="eastAsia" w:ascii="Times New Roman" w:hAnsi="Times New Roman" w:eastAsia="仿宋_GB2312" w:cs="Times New Roman"/>
          <w:bCs/>
          <w:kern w:val="0"/>
          <w:sz w:val="28"/>
          <w:szCs w:val="28"/>
          <w:vertAlign w:val="superscript"/>
          <w:lang w:val="en-US" w:eastAsia="zh-CN"/>
        </w:rPr>
        <w:t>3</w:t>
      </w:r>
      <w:r>
        <w:rPr>
          <w:rFonts w:hint="eastAsia" w:ascii="Times New Roman" w:hAnsi="Times New Roman" w:eastAsia="仿宋_GB2312" w:cs="Times New Roman"/>
          <w:bCs/>
          <w:kern w:val="0"/>
          <w:sz w:val="28"/>
          <w:szCs w:val="28"/>
          <w:lang w:val="en-US" w:eastAsia="zh-CN"/>
        </w:rPr>
        <w:t>/h，扬程约30-100m（根据不同场地的高差确定）。</w:t>
      </w:r>
    </w:p>
    <w:p w14:paraId="6CEC8EF5">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（3）水泵控制</w:t>
      </w:r>
    </w:p>
    <w:p w14:paraId="71D7C46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选用变频水泵控制柜（水泵扬程参数需根据不同场地的供水高度及供水量确定，详图纸），采用变频恒压控制系统，可以实时自动调整水泵转速和压力，按需供水，最大限度地降低人工和系统能耗。</w:t>
      </w:r>
    </w:p>
    <w:p w14:paraId="36D8349A">
      <w:pPr>
        <w:pageBreakBefore w:val="0"/>
        <w:widowControl w:val="0"/>
        <w:kinsoku/>
        <w:wordWrap/>
        <w:overflowPunct/>
        <w:topLinePunct w:val="0"/>
        <w:bidi w:val="0"/>
        <w:snapToGrid/>
        <w:spacing w:after="0" w:line="360" w:lineRule="auto"/>
        <w:ind w:left="0" w:leftChars="0" w:firstLine="0" w:firstLineChars="0"/>
        <w:jc w:val="both"/>
      </w:pPr>
      <w:r>
        <w:drawing>
          <wp:inline distT="0" distB="0" distL="114300" distR="114300">
            <wp:extent cx="5273675" cy="3721735"/>
            <wp:effectExtent l="0" t="0" r="0" b="0"/>
            <wp:docPr id="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5"/>
                    <pic:cNvPicPr>
                      <a:picLocks noChangeAspect="1"/>
                    </pic:cNvPicPr>
                  </pic:nvPicPr>
                  <pic:blipFill>
                    <a:blip r:embed="rId37"/>
                    <a:srcRect t="946"/>
                    <a:stretch>
                      <a:fillRect/>
                    </a:stretch>
                  </pic:blipFill>
                  <pic:spPr>
                    <a:xfrm>
                      <a:off x="0" y="0"/>
                      <a:ext cx="5273675" cy="3721735"/>
                    </a:xfrm>
                    <a:prstGeom prst="rect">
                      <a:avLst/>
                    </a:prstGeom>
                    <a:noFill/>
                    <a:ln>
                      <a:noFill/>
                    </a:ln>
                  </pic:spPr>
                </pic:pic>
              </a:graphicData>
            </a:graphic>
          </wp:inline>
        </w:drawing>
      </w:r>
    </w:p>
    <w:p w14:paraId="3BA2E685">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eastAsia" w:ascii="楷体" w:hAnsi="楷体" w:eastAsia="楷体" w:cs="楷体"/>
          <w:color w:val="0000FF"/>
          <w:sz w:val="24"/>
          <w:szCs w:val="24"/>
        </w:rPr>
      </w:pPr>
      <w:r>
        <w:rPr>
          <w:rFonts w:hint="eastAsia" w:ascii="楷体" w:hAnsi="楷体" w:eastAsia="楷体" w:cs="楷体"/>
          <w:color w:val="0000FF"/>
          <w:sz w:val="24"/>
          <w:szCs w:val="24"/>
          <w:lang w:val="en-US" w:eastAsia="zh-CN"/>
        </w:rPr>
        <w:t>图4-1 取水泵井设计</w:t>
      </w:r>
      <w:r>
        <w:rPr>
          <w:rFonts w:hint="eastAsia" w:ascii="楷体" w:hAnsi="楷体" w:eastAsia="楷体" w:cs="楷体"/>
          <w:color w:val="0000FF"/>
          <w:sz w:val="24"/>
          <w:szCs w:val="24"/>
        </w:rPr>
        <w:t>图</w:t>
      </w:r>
    </w:p>
    <w:p w14:paraId="6440A31B">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（4）过滤设备</w:t>
      </w:r>
    </w:p>
    <w:p w14:paraId="543AC9E0">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采用2级过滤，选用1台自动反冲洗砂石过滤器（过滤精度80目）和1台自动反冲洗叠片过滤器（过滤精度120目）。</w:t>
      </w:r>
    </w:p>
    <w:p w14:paraId="208B70C6">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（5）水肥机房</w:t>
      </w:r>
    </w:p>
    <w:p w14:paraId="6E12286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水肥机房可使用采用一体化成品房，主结构（柱、梁及连接板）均采用Q235b的钢材，质量应符合《低合金高强度结构钢》（GB/T1591-94）规定的要求。加工后的所有外露钢结构构件必须彻底除锈，除锈等级为Sa2级，安装后涂防火漆。屋面板及墙面采用75mm彩钢夹心板，活动板房的电气线路安装必须符合规范要求。所有电线应明敷并套不燃管槽，灯具要与板墙保持安全距离需要安装合格的漏电保护和过载保护开关。</w:t>
      </w:r>
    </w:p>
    <w:p w14:paraId="7FDD02D2">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pPr>
      <w:r>
        <w:drawing>
          <wp:inline distT="0" distB="0" distL="114300" distR="114300">
            <wp:extent cx="5262245" cy="2261235"/>
            <wp:effectExtent l="0" t="0" r="10795" b="9525"/>
            <wp:docPr id="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
                    <pic:cNvPicPr>
                      <a:picLocks noChangeAspect="1"/>
                    </pic:cNvPicPr>
                  </pic:nvPicPr>
                  <pic:blipFill>
                    <a:blip r:embed="rId38"/>
                    <a:stretch>
                      <a:fillRect/>
                    </a:stretch>
                  </pic:blipFill>
                  <pic:spPr>
                    <a:xfrm>
                      <a:off x="0" y="0"/>
                      <a:ext cx="5262245" cy="2261235"/>
                    </a:xfrm>
                    <a:prstGeom prst="rect">
                      <a:avLst/>
                    </a:prstGeom>
                    <a:noFill/>
                    <a:ln>
                      <a:noFill/>
                    </a:ln>
                  </pic:spPr>
                </pic:pic>
              </a:graphicData>
            </a:graphic>
          </wp:inline>
        </w:drawing>
      </w:r>
    </w:p>
    <w:p w14:paraId="4D94912F">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eastAsia" w:ascii="楷体" w:hAnsi="楷体" w:eastAsia="楷体" w:cs="楷体"/>
          <w:color w:val="0000FF"/>
          <w:sz w:val="24"/>
          <w:szCs w:val="24"/>
        </w:rPr>
      </w:pPr>
      <w:r>
        <w:rPr>
          <w:rFonts w:hint="eastAsia" w:ascii="楷体" w:hAnsi="楷体" w:eastAsia="楷体" w:cs="楷体"/>
          <w:color w:val="0000FF"/>
          <w:sz w:val="24"/>
          <w:szCs w:val="24"/>
          <w:lang w:val="en-US" w:eastAsia="zh-CN"/>
        </w:rPr>
        <w:t>图4-2 水肥机房设计</w:t>
      </w:r>
      <w:r>
        <w:rPr>
          <w:rFonts w:hint="eastAsia" w:ascii="楷体" w:hAnsi="楷体" w:eastAsia="楷体" w:cs="楷体"/>
          <w:color w:val="0000FF"/>
          <w:sz w:val="24"/>
          <w:szCs w:val="24"/>
        </w:rPr>
        <w:t>图</w:t>
      </w:r>
    </w:p>
    <w:p w14:paraId="72C9319A">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（6）施肥设备</w:t>
      </w:r>
    </w:p>
    <w:p w14:paraId="774A214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选用1台云智慧施肥机（旁路式，3通道，单通道吸肥量60～360L/h），根据种植的不同作物和不同生育阶段，在施肥机上设定好肥料配方，自动施肥，同时，施肥机也可以通过手机APP平台操作。此外，为保证整个系统的安全运行，安装流量计、压力表、泄压阀、控制阀门等管道附件。</w:t>
      </w:r>
    </w:p>
    <w:p w14:paraId="59732450">
      <w:pPr>
        <w:pStyle w:val="18"/>
        <w:pageBreakBefore w:val="0"/>
        <w:widowControl w:val="0"/>
        <w:kinsoku/>
        <w:wordWrap/>
        <w:overflowPunct/>
        <w:topLinePunct w:val="0"/>
        <w:bidi w:val="0"/>
        <w:ind w:left="0" w:leftChars="0" w:firstLine="0" w:firstLineChars="0"/>
      </w:pPr>
      <w:r>
        <w:drawing>
          <wp:inline distT="0" distB="0" distL="114300" distR="114300">
            <wp:extent cx="5273040" cy="3541395"/>
            <wp:effectExtent l="0" t="0" r="0" b="9525"/>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39"/>
                    <a:stretch>
                      <a:fillRect/>
                    </a:stretch>
                  </pic:blipFill>
                  <pic:spPr>
                    <a:xfrm>
                      <a:off x="0" y="0"/>
                      <a:ext cx="5273040" cy="3541395"/>
                    </a:xfrm>
                    <a:prstGeom prst="rect">
                      <a:avLst/>
                    </a:prstGeom>
                    <a:noFill/>
                    <a:ln>
                      <a:noFill/>
                    </a:ln>
                  </pic:spPr>
                </pic:pic>
              </a:graphicData>
            </a:graphic>
          </wp:inline>
        </w:drawing>
      </w:r>
    </w:p>
    <w:p w14:paraId="2483B494">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eastAsia" w:ascii="楷体" w:hAnsi="楷体" w:eastAsia="楷体" w:cs="楷体"/>
          <w:color w:val="0000FF"/>
          <w:sz w:val="24"/>
          <w:szCs w:val="24"/>
        </w:rPr>
      </w:pPr>
      <w:r>
        <w:rPr>
          <w:rFonts w:hint="eastAsia" w:ascii="楷体" w:hAnsi="楷体" w:eastAsia="楷体" w:cs="楷体"/>
          <w:color w:val="0000FF"/>
          <w:sz w:val="24"/>
          <w:szCs w:val="24"/>
          <w:lang w:val="en-US" w:eastAsia="zh-CN"/>
        </w:rPr>
        <w:t>图4-3 首部系统设备安装示意</w:t>
      </w:r>
      <w:r>
        <w:rPr>
          <w:rFonts w:hint="eastAsia" w:ascii="楷体" w:hAnsi="楷体" w:eastAsia="楷体" w:cs="楷体"/>
          <w:color w:val="0000FF"/>
          <w:sz w:val="24"/>
          <w:szCs w:val="24"/>
        </w:rPr>
        <w:t>图</w:t>
      </w:r>
    </w:p>
    <w:p w14:paraId="6CD6AD1B">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484" w:name="_Toc21360"/>
      <w:bookmarkStart w:id="485" w:name="_Toc21563"/>
      <w:bookmarkStart w:id="486" w:name="_Toc1970"/>
      <w:r>
        <w:rPr>
          <w:rFonts w:hint="eastAsia" w:ascii="黑体" w:hAnsi="黑体" w:cs="Times New Roman"/>
          <w:bCs w:val="0"/>
          <w:kern w:val="0"/>
          <w:sz w:val="32"/>
          <w:szCs w:val="32"/>
          <w:lang w:val="en-US" w:eastAsia="zh-CN"/>
        </w:rPr>
        <w:t>4.5</w:t>
      </w:r>
      <w:r>
        <w:rPr>
          <w:rFonts w:hint="eastAsia" w:ascii="黑体" w:hAnsi="黑体" w:eastAsia="黑体" w:cs="Times New Roman"/>
          <w:bCs w:val="0"/>
          <w:kern w:val="0"/>
          <w:sz w:val="32"/>
          <w:szCs w:val="32"/>
          <w:lang w:val="en-US" w:eastAsia="zh-CN"/>
        </w:rPr>
        <w:t>输水管网</w:t>
      </w:r>
      <w:bookmarkEnd w:id="484"/>
      <w:bookmarkEnd w:id="485"/>
      <w:bookmarkEnd w:id="486"/>
    </w:p>
    <w:p w14:paraId="6B58F80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（1）本项目场地较为分散，高差变化大，为降低同一条毛管上的水头损失，提高灌溉均匀度，轮灌区面积控制在30-50亩，进行灌溉。</w:t>
      </w:r>
    </w:p>
    <w:p w14:paraId="6FC88D0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结合项目实况及首部流量，本次输水干管采用De110*1.0MPa热熔PE管，支管采用De63*1.0MPa热熔PE管，热熔粘结，热熔PE管具有一定的韧性，耐冲击，抗老化，有良好的环境适应性和抗冻性。为降低田间管网对耕作的影响，干管采用地埋安装，做好沿路的隐蔽工作。</w:t>
      </w:r>
    </w:p>
    <w:p w14:paraId="705557D7">
      <w:pPr>
        <w:keepNext w:val="0"/>
        <w:keepLines w:val="0"/>
        <w:pageBreakBefore w:val="0"/>
        <w:widowControl w:val="0"/>
        <w:kinsoku/>
        <w:wordWrap/>
        <w:overflowPunct/>
        <w:topLinePunct w:val="0"/>
        <w:bidi w:val="0"/>
        <w:snapToGrid/>
        <w:spacing w:after="0" w:line="240" w:lineRule="auto"/>
        <w:ind w:firstLine="0" w:firstLineChars="0"/>
        <w:jc w:val="center"/>
        <w:textAlignment w:val="auto"/>
        <w:rPr>
          <w:rFonts w:hint="eastAsia" w:ascii="楷体" w:hAnsi="楷体" w:eastAsia="楷体" w:cs="楷体"/>
          <w:color w:val="0000FF"/>
          <w:sz w:val="24"/>
          <w:szCs w:val="24"/>
        </w:rPr>
      </w:pPr>
      <w:r>
        <w:rPr>
          <w:rFonts w:hint="eastAsia" w:ascii="楷体" w:hAnsi="楷体" w:eastAsia="楷体" w:cs="楷体"/>
          <w:color w:val="0000FF"/>
          <w:sz w:val="24"/>
          <w:szCs w:val="24"/>
        </w:rPr>
        <w:drawing>
          <wp:inline distT="0" distB="0" distL="114300" distR="114300">
            <wp:extent cx="4500245" cy="2495550"/>
            <wp:effectExtent l="0" t="0" r="10795" b="3810"/>
            <wp:docPr id="29" name="图片 2" descr="VCG41N105685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descr="VCG41N1056851136"/>
                    <pic:cNvPicPr>
                      <a:picLocks noChangeAspect="1"/>
                    </pic:cNvPicPr>
                  </pic:nvPicPr>
                  <pic:blipFill>
                    <a:blip r:embed="rId40"/>
                    <a:srcRect t="11670" b="5322"/>
                    <a:stretch>
                      <a:fillRect/>
                    </a:stretch>
                  </pic:blipFill>
                  <pic:spPr>
                    <a:xfrm>
                      <a:off x="0" y="0"/>
                      <a:ext cx="4500245" cy="2495550"/>
                    </a:xfrm>
                    <a:prstGeom prst="rect">
                      <a:avLst/>
                    </a:prstGeom>
                  </pic:spPr>
                </pic:pic>
              </a:graphicData>
            </a:graphic>
          </wp:inline>
        </w:drawing>
      </w:r>
    </w:p>
    <w:p w14:paraId="00B03223">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eastAsia" w:ascii="楷体" w:hAnsi="楷体" w:eastAsia="楷体" w:cs="楷体"/>
          <w:color w:val="0000FF"/>
          <w:sz w:val="24"/>
          <w:szCs w:val="24"/>
        </w:rPr>
      </w:pPr>
      <w:r>
        <w:rPr>
          <w:rFonts w:hint="eastAsia" w:ascii="楷体" w:hAnsi="楷体" w:eastAsia="楷体" w:cs="楷体"/>
          <w:color w:val="0000FF"/>
          <w:sz w:val="24"/>
          <w:szCs w:val="24"/>
          <w:lang w:val="en-US" w:eastAsia="zh-CN"/>
        </w:rPr>
        <w:t xml:space="preserve">图4-4 </w:t>
      </w:r>
      <w:r>
        <w:rPr>
          <w:rFonts w:hint="eastAsia" w:ascii="楷体" w:hAnsi="楷体" w:eastAsia="楷体" w:cs="楷体"/>
          <w:color w:val="0000FF"/>
          <w:sz w:val="24"/>
          <w:szCs w:val="24"/>
        </w:rPr>
        <w:t>PE管热熔连接图</w:t>
      </w:r>
    </w:p>
    <w:p w14:paraId="719B4D53">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pPr>
      <w:r>
        <w:drawing>
          <wp:inline distT="0" distB="0" distL="114300" distR="114300">
            <wp:extent cx="5269230" cy="1544320"/>
            <wp:effectExtent l="0" t="0" r="3810" b="10160"/>
            <wp:docPr id="5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7"/>
                    <pic:cNvPicPr>
                      <a:picLocks noChangeAspect="1"/>
                    </pic:cNvPicPr>
                  </pic:nvPicPr>
                  <pic:blipFill>
                    <a:blip r:embed="rId41"/>
                    <a:stretch>
                      <a:fillRect/>
                    </a:stretch>
                  </pic:blipFill>
                  <pic:spPr>
                    <a:xfrm>
                      <a:off x="0" y="0"/>
                      <a:ext cx="5269230" cy="1544320"/>
                    </a:xfrm>
                    <a:prstGeom prst="rect">
                      <a:avLst/>
                    </a:prstGeom>
                    <a:noFill/>
                    <a:ln>
                      <a:noFill/>
                    </a:ln>
                  </pic:spPr>
                </pic:pic>
              </a:graphicData>
            </a:graphic>
          </wp:inline>
        </w:drawing>
      </w:r>
      <w:r>
        <w:drawing>
          <wp:inline distT="0" distB="0" distL="114300" distR="114300">
            <wp:extent cx="5269230" cy="1911985"/>
            <wp:effectExtent l="0" t="0" r="3810" b="8255"/>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8"/>
                    <pic:cNvPicPr>
                      <a:picLocks noChangeAspect="1"/>
                    </pic:cNvPicPr>
                  </pic:nvPicPr>
                  <pic:blipFill>
                    <a:blip r:embed="rId42"/>
                    <a:stretch>
                      <a:fillRect/>
                    </a:stretch>
                  </pic:blipFill>
                  <pic:spPr>
                    <a:xfrm>
                      <a:off x="0" y="0"/>
                      <a:ext cx="5269230" cy="1911985"/>
                    </a:xfrm>
                    <a:prstGeom prst="rect">
                      <a:avLst/>
                    </a:prstGeom>
                    <a:noFill/>
                    <a:ln>
                      <a:noFill/>
                    </a:ln>
                  </pic:spPr>
                </pic:pic>
              </a:graphicData>
            </a:graphic>
          </wp:inline>
        </w:drawing>
      </w:r>
    </w:p>
    <w:p w14:paraId="3830BB0F">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eastAsia" w:ascii="楷体" w:hAnsi="楷体" w:eastAsia="楷体" w:cs="楷体"/>
          <w:color w:val="0000FF"/>
          <w:sz w:val="24"/>
          <w:szCs w:val="24"/>
        </w:rPr>
      </w:pPr>
      <w:r>
        <w:rPr>
          <w:rFonts w:hint="eastAsia" w:ascii="楷体" w:hAnsi="楷体" w:eastAsia="楷体" w:cs="楷体"/>
          <w:color w:val="0000FF"/>
          <w:sz w:val="24"/>
          <w:szCs w:val="24"/>
          <w:lang w:val="en-US" w:eastAsia="zh-CN"/>
        </w:rPr>
        <w:t>图4-5 管道包方设计</w:t>
      </w:r>
      <w:r>
        <w:rPr>
          <w:rFonts w:hint="eastAsia" w:ascii="楷体" w:hAnsi="楷体" w:eastAsia="楷体" w:cs="楷体"/>
          <w:color w:val="0000FF"/>
          <w:sz w:val="24"/>
          <w:szCs w:val="24"/>
        </w:rPr>
        <w:t>图</w:t>
      </w:r>
    </w:p>
    <w:p w14:paraId="22D9663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（3）滴灌毛管为滴灌带，根据每排油茶实际情况沿着油茶种植方向布置滴灌带，滴灌带长度不超过200米。</w:t>
      </w:r>
    </w:p>
    <w:p w14:paraId="28AFF7E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（4）为了保证系统的安全性，在管道较高处进排气阀，停泵时使空气进入管网系统，防止管路出现负压；启动水泵时将空气从管网中排除，避免管路气阻。</w:t>
      </w:r>
    </w:p>
    <w:p w14:paraId="5AD9DA0A">
      <w:pPr>
        <w:pStyle w:val="3"/>
        <w:pageBreakBefore w:val="0"/>
        <w:widowControl w:val="0"/>
        <w:kinsoku/>
        <w:wordWrap/>
        <w:overflowPunct/>
        <w:topLinePunct w:val="0"/>
        <w:bidi w:val="0"/>
        <w:snapToGrid/>
        <w:spacing w:before="0" w:beforeLines="0" w:beforeAutospacing="0" w:after="0" w:afterLines="0" w:afterAutospacing="0" w:line="240" w:lineRule="auto"/>
        <w:ind w:firstLine="0" w:firstLineChars="0"/>
        <w:jc w:val="center"/>
        <w:textAlignment w:val="auto"/>
      </w:pPr>
      <w:r>
        <w:drawing>
          <wp:inline distT="0" distB="0" distL="114300" distR="114300">
            <wp:extent cx="5267960" cy="4177665"/>
            <wp:effectExtent l="0" t="0" r="5080" b="1333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43"/>
                    <a:stretch>
                      <a:fillRect/>
                    </a:stretch>
                  </pic:blipFill>
                  <pic:spPr>
                    <a:xfrm>
                      <a:off x="0" y="0"/>
                      <a:ext cx="5267960" cy="4177665"/>
                    </a:xfrm>
                    <a:prstGeom prst="rect">
                      <a:avLst/>
                    </a:prstGeom>
                    <a:noFill/>
                    <a:ln>
                      <a:noFill/>
                    </a:ln>
                  </pic:spPr>
                </pic:pic>
              </a:graphicData>
            </a:graphic>
          </wp:inline>
        </w:drawing>
      </w:r>
    </w:p>
    <w:p w14:paraId="23615B1F">
      <w:pPr>
        <w:pageBreakBefore w:val="0"/>
        <w:widowControl w:val="0"/>
        <w:kinsoku/>
        <w:wordWrap/>
        <w:overflowPunct/>
        <w:topLinePunct w:val="0"/>
        <w:bidi w:val="0"/>
        <w:snapToGrid/>
        <w:spacing w:after="0" w:line="240" w:lineRule="auto"/>
        <w:ind w:firstLine="0" w:firstLineChars="0"/>
        <w:jc w:val="center"/>
        <w:textAlignment w:val="auto"/>
      </w:pPr>
      <w:r>
        <w:drawing>
          <wp:inline distT="0" distB="0" distL="114300" distR="114300">
            <wp:extent cx="5273675" cy="3505835"/>
            <wp:effectExtent l="0" t="0" r="14605" b="14605"/>
            <wp:docPr id="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9"/>
                    <pic:cNvPicPr>
                      <a:picLocks noChangeAspect="1"/>
                    </pic:cNvPicPr>
                  </pic:nvPicPr>
                  <pic:blipFill>
                    <a:blip r:embed="rId44"/>
                    <a:stretch>
                      <a:fillRect/>
                    </a:stretch>
                  </pic:blipFill>
                  <pic:spPr>
                    <a:xfrm>
                      <a:off x="0" y="0"/>
                      <a:ext cx="5273675" cy="3505835"/>
                    </a:xfrm>
                    <a:prstGeom prst="rect">
                      <a:avLst/>
                    </a:prstGeom>
                    <a:noFill/>
                    <a:ln>
                      <a:noFill/>
                    </a:ln>
                  </pic:spPr>
                </pic:pic>
              </a:graphicData>
            </a:graphic>
          </wp:inline>
        </w:drawing>
      </w:r>
    </w:p>
    <w:p w14:paraId="79C8D2AD">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eastAsia" w:ascii="楷体" w:hAnsi="楷体" w:eastAsia="楷体" w:cs="楷体"/>
          <w:color w:val="0000FF"/>
          <w:sz w:val="24"/>
          <w:szCs w:val="24"/>
        </w:rPr>
      </w:pPr>
      <w:r>
        <w:rPr>
          <w:rFonts w:hint="eastAsia" w:ascii="楷体" w:hAnsi="楷体" w:eastAsia="楷体" w:cs="楷体"/>
          <w:color w:val="0000FF"/>
          <w:sz w:val="24"/>
          <w:szCs w:val="24"/>
          <w:lang w:val="en-US" w:eastAsia="zh-CN"/>
        </w:rPr>
        <w:t>图4-6 阀门井及井盖设计</w:t>
      </w:r>
      <w:r>
        <w:rPr>
          <w:rFonts w:hint="eastAsia" w:ascii="楷体" w:hAnsi="楷体" w:eastAsia="楷体" w:cs="楷体"/>
          <w:color w:val="0000FF"/>
          <w:sz w:val="24"/>
          <w:szCs w:val="24"/>
        </w:rPr>
        <w:t>图</w:t>
      </w:r>
    </w:p>
    <w:p w14:paraId="7FA63C5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5）本工程阀门DN100采用蝶阀（阀门型号详见材料表），均设置在阀门井（阀门井均采用地面操作砖砌圆形阀门井）内，所有管道三通、弯管、盲法兰盘处，均设支墩、锚固设施加固，其做法参照标准图集07MS101-2和10S505。井盖采用钢纤维井盖（位于车行道下采用D400级，其余采用C250级），或按甲方要求统一定制。各类阀门安装时，须注意与管道工作压力匹配。</w:t>
      </w:r>
    </w:p>
    <w:p w14:paraId="52FE5969">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487" w:name="_Toc1411"/>
      <w:bookmarkStart w:id="488" w:name="_Toc16518"/>
      <w:bookmarkStart w:id="489" w:name="_Toc1508"/>
      <w:r>
        <w:rPr>
          <w:rFonts w:hint="eastAsia" w:ascii="黑体" w:hAnsi="黑体" w:cs="Times New Roman"/>
          <w:bCs w:val="0"/>
          <w:kern w:val="0"/>
          <w:sz w:val="32"/>
          <w:szCs w:val="32"/>
          <w:lang w:val="en-US" w:eastAsia="zh-CN"/>
        </w:rPr>
        <w:t>4.6</w:t>
      </w:r>
      <w:r>
        <w:rPr>
          <w:rFonts w:hint="eastAsia" w:ascii="黑体" w:hAnsi="黑体" w:eastAsia="黑体" w:cs="Times New Roman"/>
          <w:bCs w:val="0"/>
          <w:kern w:val="0"/>
          <w:sz w:val="32"/>
          <w:szCs w:val="32"/>
          <w:lang w:val="en-US" w:eastAsia="zh-CN"/>
        </w:rPr>
        <w:t>灌水器选型</w:t>
      </w:r>
      <w:bookmarkEnd w:id="487"/>
      <w:bookmarkEnd w:id="488"/>
      <w:bookmarkEnd w:id="489"/>
    </w:p>
    <w:p w14:paraId="3C32924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滴灌选用内镶贴片式滴灌带，壁厚0.3mm，滴头间距30cm，流量1.00L/h，每排油茶根据实际情况沿着油茶种植方向布置滴灌带，滴灌带长度不超过200米，安装时滴灌带出水口朝上。</w:t>
      </w:r>
    </w:p>
    <w:p w14:paraId="2A526BDE">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490" w:name="_Toc1585"/>
      <w:bookmarkStart w:id="491" w:name="_Toc32114"/>
      <w:bookmarkStart w:id="492" w:name="_Toc227"/>
      <w:r>
        <w:rPr>
          <w:rFonts w:hint="eastAsia" w:ascii="黑体" w:hAnsi="黑体" w:cs="Times New Roman"/>
          <w:bCs w:val="0"/>
          <w:kern w:val="0"/>
          <w:sz w:val="32"/>
          <w:szCs w:val="32"/>
          <w:lang w:val="en-US" w:eastAsia="zh-CN"/>
        </w:rPr>
        <w:t>4.7</w:t>
      </w:r>
      <w:r>
        <w:rPr>
          <w:rFonts w:hint="eastAsia" w:ascii="黑体" w:hAnsi="黑体" w:eastAsia="黑体" w:cs="Times New Roman"/>
          <w:bCs w:val="0"/>
          <w:kern w:val="0"/>
          <w:sz w:val="32"/>
          <w:szCs w:val="32"/>
          <w:lang w:val="en-US" w:eastAsia="zh-CN"/>
        </w:rPr>
        <w:t>灌溉制度</w:t>
      </w:r>
      <w:bookmarkEnd w:id="490"/>
      <w:bookmarkEnd w:id="491"/>
      <w:bookmarkEnd w:id="492"/>
    </w:p>
    <w:p w14:paraId="6F304B2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日灌水时间为12h，滴灌覆盖区域约774.9亩，划分为16个轮灌区，每个轮灌区用2"电磁阀自动控制，每次最多可同时打开2个阀门。</w:t>
      </w:r>
    </w:p>
    <w:p w14:paraId="5EBDBF73">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eastAsia="黑体" w:cs="Times New Roman"/>
          <w:bCs w:val="0"/>
          <w:kern w:val="0"/>
          <w:sz w:val="32"/>
          <w:szCs w:val="32"/>
          <w:lang w:val="en-US" w:eastAsia="zh-CN"/>
        </w:rPr>
      </w:pPr>
      <w:bookmarkStart w:id="493" w:name="_Toc29316"/>
      <w:bookmarkStart w:id="494" w:name="_Toc18938"/>
      <w:bookmarkStart w:id="495" w:name="_Toc19698"/>
      <w:r>
        <w:rPr>
          <w:rFonts w:hint="eastAsia" w:ascii="黑体" w:hAnsi="黑体" w:cs="Times New Roman"/>
          <w:bCs w:val="0"/>
          <w:kern w:val="0"/>
          <w:sz w:val="32"/>
          <w:szCs w:val="32"/>
          <w:lang w:val="en-US" w:eastAsia="zh-CN"/>
        </w:rPr>
        <w:t>4.8</w:t>
      </w:r>
      <w:r>
        <w:rPr>
          <w:rFonts w:hint="eastAsia" w:ascii="黑体" w:hAnsi="黑体" w:eastAsia="黑体" w:cs="Times New Roman"/>
          <w:bCs w:val="0"/>
          <w:kern w:val="0"/>
          <w:sz w:val="32"/>
          <w:szCs w:val="32"/>
          <w:lang w:val="en-US" w:eastAsia="zh-CN"/>
        </w:rPr>
        <w:t>浇灌系统设计</w:t>
      </w:r>
      <w:bookmarkEnd w:id="493"/>
      <w:bookmarkEnd w:id="494"/>
      <w:bookmarkEnd w:id="495"/>
    </w:p>
    <w:p w14:paraId="3D93D97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水肥浇灌系统根据高差分为水肥机房直供及供至高位水桶后重力浇灌两种，部分水源不足或高差较大采用PE浇灌桶方式。</w:t>
      </w:r>
    </w:p>
    <w:p w14:paraId="7786D73A">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eastAsia" w:ascii="楷体" w:hAnsi="楷体" w:eastAsia="楷体" w:cs="楷体"/>
          <w:color w:val="0000FF"/>
          <w:sz w:val="24"/>
          <w:szCs w:val="24"/>
          <w:lang w:val="en-US" w:eastAsia="zh-CN"/>
        </w:rPr>
      </w:pPr>
      <w:r>
        <w:rPr>
          <w:rFonts w:hint="eastAsia" w:ascii="楷体" w:hAnsi="楷体" w:eastAsia="楷体" w:cs="楷体"/>
          <w:color w:val="0000FF"/>
          <w:sz w:val="24"/>
          <w:szCs w:val="24"/>
          <w:lang w:val="en-US" w:eastAsia="zh-CN"/>
        </w:rPr>
        <w:drawing>
          <wp:inline distT="0" distB="0" distL="114300" distR="114300">
            <wp:extent cx="5266055" cy="19773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5"/>
                    <a:srcRect t="4554" b="7900"/>
                    <a:stretch>
                      <a:fillRect/>
                    </a:stretch>
                  </pic:blipFill>
                  <pic:spPr>
                    <a:xfrm>
                      <a:off x="0" y="0"/>
                      <a:ext cx="5266055" cy="1977390"/>
                    </a:xfrm>
                    <a:prstGeom prst="rect">
                      <a:avLst/>
                    </a:prstGeom>
                    <a:noFill/>
                    <a:ln>
                      <a:noFill/>
                    </a:ln>
                  </pic:spPr>
                </pic:pic>
              </a:graphicData>
            </a:graphic>
          </wp:inline>
        </w:drawing>
      </w:r>
    </w:p>
    <w:p w14:paraId="73B28E11">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default" w:ascii="楷体" w:hAnsi="楷体" w:eastAsia="楷体" w:cs="楷体"/>
          <w:color w:val="0000FF"/>
          <w:sz w:val="24"/>
          <w:szCs w:val="24"/>
          <w:lang w:val="en-US" w:eastAsia="zh-CN"/>
        </w:rPr>
      </w:pPr>
      <w:r>
        <w:rPr>
          <w:rFonts w:hint="eastAsia" w:ascii="楷体" w:hAnsi="楷体" w:eastAsia="楷体" w:cs="楷体"/>
          <w:color w:val="0000FF"/>
          <w:sz w:val="24"/>
          <w:szCs w:val="24"/>
          <w:lang w:val="en-US" w:eastAsia="zh-CN"/>
        </w:rPr>
        <w:t>图4-7 水肥系统原理图一</w:t>
      </w:r>
    </w:p>
    <w:p w14:paraId="16F7AC83">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eastAsia" w:ascii="楷体" w:hAnsi="楷体" w:eastAsia="楷体" w:cs="楷体"/>
          <w:color w:val="0000FF"/>
          <w:sz w:val="24"/>
          <w:szCs w:val="24"/>
          <w:lang w:val="en-US" w:eastAsia="zh-CN"/>
        </w:rPr>
      </w:pPr>
      <w:r>
        <w:rPr>
          <w:rFonts w:hint="eastAsia" w:ascii="楷体" w:hAnsi="楷体" w:eastAsia="楷体" w:cs="楷体"/>
          <w:color w:val="0000FF"/>
          <w:sz w:val="24"/>
          <w:szCs w:val="24"/>
          <w:lang w:val="en-US" w:eastAsia="zh-CN"/>
        </w:rPr>
        <w:drawing>
          <wp:inline distT="0" distB="0" distL="114300" distR="114300">
            <wp:extent cx="5259070" cy="1825625"/>
            <wp:effectExtent l="0" t="0" r="1397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6"/>
                    <a:stretch>
                      <a:fillRect/>
                    </a:stretch>
                  </pic:blipFill>
                  <pic:spPr>
                    <a:xfrm>
                      <a:off x="0" y="0"/>
                      <a:ext cx="5259070" cy="1825625"/>
                    </a:xfrm>
                    <a:prstGeom prst="rect">
                      <a:avLst/>
                    </a:prstGeom>
                    <a:noFill/>
                    <a:ln>
                      <a:noFill/>
                    </a:ln>
                  </pic:spPr>
                </pic:pic>
              </a:graphicData>
            </a:graphic>
          </wp:inline>
        </w:drawing>
      </w:r>
      <w:r>
        <w:rPr>
          <w:rFonts w:hint="eastAsia" w:ascii="楷体" w:hAnsi="楷体" w:eastAsia="楷体" w:cs="楷体"/>
          <w:color w:val="0000FF"/>
          <w:sz w:val="24"/>
          <w:szCs w:val="24"/>
          <w:lang w:val="en-US" w:eastAsia="zh-CN"/>
        </w:rPr>
        <w:t>图4-8 水肥系统原理图二</w:t>
      </w:r>
    </w:p>
    <w:p w14:paraId="419BA94B">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eastAsia" w:ascii="楷体" w:hAnsi="楷体" w:eastAsia="楷体" w:cs="楷体"/>
          <w:color w:val="0000FF"/>
          <w:sz w:val="24"/>
          <w:szCs w:val="24"/>
          <w:lang w:val="en-US" w:eastAsia="zh-CN"/>
        </w:rPr>
      </w:pPr>
      <w:r>
        <w:drawing>
          <wp:inline distT="0" distB="0" distL="114300" distR="114300">
            <wp:extent cx="5269230" cy="1188720"/>
            <wp:effectExtent l="0" t="0" r="3810" b="0"/>
            <wp:docPr id="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0"/>
                    <pic:cNvPicPr>
                      <a:picLocks noChangeAspect="1"/>
                    </pic:cNvPicPr>
                  </pic:nvPicPr>
                  <pic:blipFill>
                    <a:blip r:embed="rId47"/>
                    <a:stretch>
                      <a:fillRect/>
                    </a:stretch>
                  </pic:blipFill>
                  <pic:spPr>
                    <a:xfrm>
                      <a:off x="0" y="0"/>
                      <a:ext cx="5269230" cy="1188720"/>
                    </a:xfrm>
                    <a:prstGeom prst="rect">
                      <a:avLst/>
                    </a:prstGeom>
                    <a:noFill/>
                    <a:ln>
                      <a:noFill/>
                    </a:ln>
                  </pic:spPr>
                </pic:pic>
              </a:graphicData>
            </a:graphic>
          </wp:inline>
        </w:drawing>
      </w:r>
      <w:r>
        <w:rPr>
          <w:rFonts w:hint="eastAsia" w:ascii="楷体" w:hAnsi="楷体" w:eastAsia="楷体" w:cs="楷体"/>
          <w:color w:val="0000FF"/>
          <w:sz w:val="24"/>
          <w:szCs w:val="24"/>
          <w:lang w:val="en-US" w:eastAsia="zh-CN"/>
        </w:rPr>
        <w:t>图4-9 油茶滴灌布置原理图</w:t>
      </w:r>
    </w:p>
    <w:p w14:paraId="5A616F56">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eastAsia" w:ascii="楷体" w:hAnsi="楷体" w:eastAsia="楷体" w:cs="楷体"/>
          <w:color w:val="0000FF"/>
          <w:sz w:val="24"/>
          <w:szCs w:val="24"/>
          <w:lang w:val="en-US" w:eastAsia="zh-CN"/>
        </w:rPr>
      </w:pPr>
      <w:r>
        <w:drawing>
          <wp:inline distT="0" distB="0" distL="114300" distR="114300">
            <wp:extent cx="5267325" cy="1979295"/>
            <wp:effectExtent l="0" t="0" r="5715" b="1905"/>
            <wp:docPr id="5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1"/>
                    <pic:cNvPicPr>
                      <a:picLocks noChangeAspect="1"/>
                    </pic:cNvPicPr>
                  </pic:nvPicPr>
                  <pic:blipFill>
                    <a:blip r:embed="rId48"/>
                    <a:stretch>
                      <a:fillRect/>
                    </a:stretch>
                  </pic:blipFill>
                  <pic:spPr>
                    <a:xfrm>
                      <a:off x="0" y="0"/>
                      <a:ext cx="5267325" cy="1979295"/>
                    </a:xfrm>
                    <a:prstGeom prst="rect">
                      <a:avLst/>
                    </a:prstGeom>
                    <a:noFill/>
                    <a:ln>
                      <a:noFill/>
                    </a:ln>
                  </pic:spPr>
                </pic:pic>
              </a:graphicData>
            </a:graphic>
          </wp:inline>
        </w:drawing>
      </w:r>
    </w:p>
    <w:p w14:paraId="461D1D7C">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eastAsia" w:ascii="楷体" w:hAnsi="楷体" w:eastAsia="楷体" w:cs="楷体"/>
          <w:color w:val="0000FF"/>
          <w:sz w:val="24"/>
          <w:szCs w:val="24"/>
          <w:lang w:val="en-US" w:eastAsia="zh-CN"/>
        </w:rPr>
      </w:pPr>
      <w:r>
        <w:rPr>
          <w:rFonts w:hint="eastAsia" w:ascii="楷体" w:hAnsi="楷体" w:eastAsia="楷体" w:cs="楷体"/>
          <w:color w:val="0000FF"/>
          <w:sz w:val="24"/>
          <w:szCs w:val="24"/>
          <w:lang w:val="en-US" w:eastAsia="zh-CN"/>
        </w:rPr>
        <w:t>图4-10 油茶水肥轮灌区原理图（示意图为1个轮灌区）</w:t>
      </w:r>
    </w:p>
    <w:p w14:paraId="57C266DB">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pPr>
      <w:r>
        <w:drawing>
          <wp:inline distT="0" distB="0" distL="114300" distR="114300">
            <wp:extent cx="5272405" cy="2651125"/>
            <wp:effectExtent l="0" t="0" r="635" b="635"/>
            <wp:docPr id="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
                    <pic:cNvPicPr>
                      <a:picLocks noChangeAspect="1"/>
                    </pic:cNvPicPr>
                  </pic:nvPicPr>
                  <pic:blipFill>
                    <a:blip r:embed="rId49"/>
                    <a:stretch>
                      <a:fillRect/>
                    </a:stretch>
                  </pic:blipFill>
                  <pic:spPr>
                    <a:xfrm>
                      <a:off x="0" y="0"/>
                      <a:ext cx="5272405" cy="2651125"/>
                    </a:xfrm>
                    <a:prstGeom prst="rect">
                      <a:avLst/>
                    </a:prstGeom>
                    <a:noFill/>
                    <a:ln>
                      <a:noFill/>
                    </a:ln>
                  </pic:spPr>
                </pic:pic>
              </a:graphicData>
            </a:graphic>
          </wp:inline>
        </w:drawing>
      </w:r>
    </w:p>
    <w:p w14:paraId="438D7B04">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eastAsia" w:ascii="楷体" w:hAnsi="楷体" w:eastAsia="楷体" w:cs="楷体"/>
          <w:color w:val="0000FF"/>
          <w:sz w:val="24"/>
          <w:szCs w:val="24"/>
          <w:lang w:val="en-US" w:eastAsia="zh-CN"/>
        </w:rPr>
      </w:pPr>
      <w:r>
        <w:rPr>
          <w:rFonts w:hint="eastAsia" w:ascii="楷体" w:hAnsi="楷体" w:eastAsia="楷体" w:cs="楷体"/>
          <w:color w:val="0000FF"/>
          <w:sz w:val="24"/>
          <w:szCs w:val="24"/>
          <w:lang w:val="en-US" w:eastAsia="zh-CN"/>
        </w:rPr>
        <w:t>图4-11 PE浇灌桶原理图（示意图为1个轮灌区）</w:t>
      </w:r>
    </w:p>
    <w:p w14:paraId="60B6763C">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496" w:name="_Toc26802"/>
      <w:bookmarkStart w:id="497" w:name="_Toc26777"/>
      <w:bookmarkStart w:id="498" w:name="_Toc20632"/>
      <w:r>
        <w:rPr>
          <w:rFonts w:hint="eastAsia" w:ascii="黑体" w:hAnsi="黑体" w:cs="Times New Roman"/>
          <w:bCs w:val="0"/>
          <w:kern w:val="0"/>
          <w:sz w:val="32"/>
          <w:szCs w:val="32"/>
          <w:lang w:val="en-US" w:eastAsia="zh-CN"/>
        </w:rPr>
        <w:t>4.9灌溉运营</w:t>
      </w:r>
      <w:bookmarkEnd w:id="496"/>
      <w:bookmarkEnd w:id="497"/>
    </w:p>
    <w:p w14:paraId="13FD398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结合本项目的实际情况及资金投入情况，充分利用物联网及数字农业技术，灌溉的控制方式主要通过水肥机房的中控屏实现，通过系统设置结合人工控制的方式进行系统的启动及关闭，来实现水肥的浇灌及停止。一般一套系统只需要一人操作即可。</w:t>
      </w:r>
    </w:p>
    <w:p w14:paraId="0D109747">
      <w:pPr>
        <w:pStyle w:val="4"/>
        <w:pageBreakBefore w:val="0"/>
        <w:widowControl w:val="0"/>
        <w:kinsoku/>
        <w:wordWrap/>
        <w:overflowPunct/>
        <w:topLinePunct w:val="0"/>
        <w:bidi w:val="0"/>
        <w:rPr>
          <w:rFonts w:hint="eastAsia" w:ascii="楷体" w:hAnsi="楷体" w:eastAsia="楷体" w:cs="楷体"/>
          <w:lang w:val="en-US" w:eastAsia="zh-CN"/>
        </w:rPr>
      </w:pPr>
      <w:r>
        <w:rPr>
          <w:rFonts w:hint="eastAsia" w:ascii="楷体" w:hAnsi="楷体" w:eastAsia="楷体" w:cs="楷体"/>
          <w:lang w:val="en-US" w:eastAsia="zh-CN"/>
        </w:rPr>
        <w:t>4.9.1施肥方案</w:t>
      </w:r>
    </w:p>
    <w:p w14:paraId="258230F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肥料应为水溶性肥料，需选择常温下溶解度高、养分含量高、杂质含量低、溶解迅速、不易沉淀的化肥。油茶生产中使用较多的肥料有尿素、复合肥和磷酸二氢钾，尿素和磷酸二氢钾的水溶性较好，复合肥要选择水溶性较好的硫基复合肥。</w:t>
      </w:r>
    </w:p>
    <w:p w14:paraId="36F708C8">
      <w:pPr>
        <w:pStyle w:val="4"/>
        <w:pageBreakBefore w:val="0"/>
        <w:widowControl w:val="0"/>
        <w:kinsoku/>
        <w:wordWrap/>
        <w:overflowPunct/>
        <w:topLinePunct w:val="0"/>
        <w:bidi w:val="0"/>
        <w:rPr>
          <w:rFonts w:hint="eastAsia" w:ascii="楷体" w:hAnsi="楷体" w:eastAsia="楷体" w:cs="楷体"/>
          <w:lang w:val="en-US" w:eastAsia="zh-CN"/>
        </w:rPr>
      </w:pPr>
      <w:r>
        <w:rPr>
          <w:rFonts w:hint="eastAsia" w:ascii="楷体" w:hAnsi="楷体" w:eastAsia="楷体" w:cs="楷体"/>
          <w:lang w:val="en-US" w:eastAsia="zh-CN"/>
        </w:rPr>
        <w:t>4.9.2 灌溉时期及灌溉量</w:t>
      </w:r>
    </w:p>
    <w:p w14:paraId="3B472EA2">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（1）灌溉时期</w:t>
      </w:r>
    </w:p>
    <w:p w14:paraId="00E8263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根据油茶树需水特点和土壤墒情，主要视土壤干旱及油茶生育需水程度适时灌溉。一般在7月（果实膨大肥）、8月和9月（油脂转化肥）每月各浇灌1-2次。如遇干旱，适当增加灌溉次数（仅灌溉水）。</w:t>
      </w:r>
    </w:p>
    <w:p w14:paraId="190AE036">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（2）灌水（肥）量</w:t>
      </w:r>
    </w:p>
    <w:p w14:paraId="3F850CF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根据灌水器和油茶树的需水要求，一般幼树每株每次浇灌水（肥）量为10-20L，成年树为20-50L。灌溉浸透深度以30-50cm为宜。</w:t>
      </w:r>
    </w:p>
    <w:p w14:paraId="77F26D66">
      <w:pPr>
        <w:pStyle w:val="4"/>
        <w:pageBreakBefore w:val="0"/>
        <w:widowControl w:val="0"/>
        <w:kinsoku/>
        <w:wordWrap/>
        <w:overflowPunct/>
        <w:topLinePunct w:val="0"/>
        <w:bidi w:val="0"/>
        <w:rPr>
          <w:rFonts w:hint="eastAsia" w:ascii="楷体" w:hAnsi="楷体" w:eastAsia="楷体" w:cs="楷体"/>
          <w:lang w:val="en-US" w:eastAsia="zh-CN"/>
        </w:rPr>
      </w:pPr>
      <w:r>
        <w:rPr>
          <w:rFonts w:hint="eastAsia" w:ascii="楷体" w:hAnsi="楷体" w:eastAsia="楷体" w:cs="楷体"/>
          <w:lang w:val="en-US" w:eastAsia="zh-CN"/>
        </w:rPr>
        <w:t>4.9.3设施维护</w:t>
      </w:r>
    </w:p>
    <w:p w14:paraId="46302A5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定期检查、及时维修系统的水泵、施肥、过滤、量测等设备，及时清除施肥装置内的沉淀物，定期清洗过滤器，以保障系统正常工作。</w:t>
      </w:r>
    </w:p>
    <w:p w14:paraId="43A12468">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499" w:name="_Toc6170"/>
      <w:bookmarkStart w:id="500" w:name="_Toc24666"/>
      <w:bookmarkStart w:id="501" w:name="_Toc3111"/>
      <w:r>
        <w:rPr>
          <w:rFonts w:hint="eastAsia" w:ascii="黑体" w:hAnsi="黑体" w:cs="Times New Roman"/>
          <w:bCs w:val="0"/>
          <w:kern w:val="0"/>
          <w:sz w:val="32"/>
          <w:szCs w:val="32"/>
          <w:lang w:val="en-US" w:eastAsia="zh-CN"/>
        </w:rPr>
        <w:t>4.10供电设计</w:t>
      </w:r>
      <w:bookmarkEnd w:id="499"/>
      <w:bookmarkEnd w:id="500"/>
      <w:bookmarkEnd w:id="501"/>
    </w:p>
    <w:p w14:paraId="7E2EF3C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由于本项目位于山地，高差较大，根据现场调研，项目地暂无现状供电系统，但靠近村庄，周边电源可接入本项目。考虑到项目实施的必要性，本次设计的水肥机房及取水泵房均在山脚，尽量靠近周边农户，方便就近接电。</w:t>
      </w:r>
    </w:p>
    <w:p w14:paraId="6FFF8F2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本项目的主要用电部位为水肥机房（含取水泵）以及浇灌分支的电磁阀。其中水肥机房及取水泵用总用电功率在30千～50千瓦，机房及取水泵均为设备成套，只需要电网根据用电需求引电至本项目的配电柜处即可；设计位于山上的电磁阀，电磁阀较为分散，且用电功率较低，一般为3-5瓦，考虑供电线路较远以及成本问题，本次设计的电磁阀均采用太阳能供电（电池考虑7天的供电量）。</w:t>
      </w:r>
    </w:p>
    <w:p w14:paraId="1F33F15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水肥一体化设施需要的供电等设施根据《浙江省衢州市油茶产业发展示范奖补项目实施方案》，由《中共衢州市委 衢州市人民政府关于开展农业农村十大专项行动加快建设全域和美乡村的实施意见》中各专项行动进行配套建设，本项目仅考虑输电线路及电费等</w:t>
      </w:r>
      <w:bookmarkEnd w:id="498"/>
      <w:r>
        <w:rPr>
          <w:rFonts w:hint="eastAsia" w:ascii="Times New Roman" w:hAnsi="Times New Roman" w:eastAsia="仿宋_GB2312" w:cs="Times New Roman"/>
          <w:bCs/>
          <w:kern w:val="0"/>
          <w:sz w:val="28"/>
          <w:szCs w:val="28"/>
          <w:lang w:val="en-US" w:eastAsia="zh-CN"/>
        </w:rPr>
        <w:t>费用。</w:t>
      </w:r>
    </w:p>
    <w:p w14:paraId="4FF5133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br w:type="page"/>
      </w:r>
    </w:p>
    <w:p w14:paraId="74DFC37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sectPr>
          <w:headerReference r:id="rId17" w:type="even"/>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7FE9478E">
      <w:pPr>
        <w:pStyle w:val="2"/>
        <w:pageBreakBefore w:val="0"/>
        <w:widowControl w:val="0"/>
        <w:kinsoku/>
        <w:wordWrap/>
        <w:overflowPunct/>
        <w:topLinePunct w:val="0"/>
        <w:bidi w:val="0"/>
        <w:snapToGrid/>
        <w:spacing w:before="326" w:beforeLines="100" w:after="326" w:afterLines="100" w:line="360" w:lineRule="auto"/>
        <w:ind w:right="0" w:rightChars="0" w:firstLine="0" w:firstLineChars="0"/>
        <w:jc w:val="center"/>
        <w:rPr>
          <w:rFonts w:hint="default" w:ascii="黑体" w:hAnsi="黑体" w:eastAsia="黑体" w:cs="Times New Roman"/>
          <w:b/>
          <w:bCs w:val="0"/>
          <w:sz w:val="36"/>
          <w:szCs w:val="36"/>
          <w:highlight w:val="none"/>
          <w:lang w:val="en-US" w:eastAsia="zh-CN"/>
        </w:rPr>
      </w:pPr>
      <w:bookmarkStart w:id="502" w:name="_Toc6713"/>
      <w:bookmarkStart w:id="503" w:name="_Toc7295"/>
      <w:bookmarkStart w:id="504" w:name="_Toc7524"/>
      <w:r>
        <w:rPr>
          <w:rFonts w:hint="eastAsia" w:ascii="黑体" w:hAnsi="黑体" w:eastAsia="黑体" w:cs="Times New Roman"/>
          <w:b/>
          <w:bCs w:val="0"/>
          <w:sz w:val="36"/>
          <w:szCs w:val="36"/>
          <w:highlight w:val="none"/>
          <w:lang w:val="en-US" w:eastAsia="zh-CN"/>
        </w:rPr>
        <w:t>第五章 作业道路</w:t>
      </w:r>
      <w:bookmarkEnd w:id="502"/>
      <w:bookmarkEnd w:id="503"/>
      <w:bookmarkEnd w:id="504"/>
      <w:r>
        <w:rPr>
          <w:rFonts w:hint="eastAsia" w:cs="Times New Roman"/>
          <w:b/>
          <w:bCs w:val="0"/>
          <w:sz w:val="36"/>
          <w:szCs w:val="36"/>
          <w:highlight w:val="none"/>
          <w:lang w:val="en-US" w:eastAsia="zh-CN"/>
        </w:rPr>
        <w:t>方案</w:t>
      </w:r>
    </w:p>
    <w:p w14:paraId="1D4CED8D">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505" w:name="_Toc11280"/>
      <w:bookmarkStart w:id="506" w:name="_Toc22642"/>
      <w:bookmarkStart w:id="507" w:name="_Toc10081"/>
      <w:r>
        <w:rPr>
          <w:rFonts w:hint="eastAsia" w:ascii="黑体" w:hAnsi="黑体" w:cs="Times New Roman"/>
          <w:bCs w:val="0"/>
          <w:kern w:val="0"/>
          <w:sz w:val="32"/>
          <w:szCs w:val="32"/>
          <w:lang w:val="en-US" w:eastAsia="zh-CN"/>
        </w:rPr>
        <w:t>5.1 设计原则</w:t>
      </w:r>
      <w:bookmarkEnd w:id="505"/>
      <w:bookmarkEnd w:id="506"/>
      <w:bookmarkEnd w:id="507"/>
    </w:p>
    <w:p w14:paraId="655BDBE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（1）遵守国家有关法律法规及规范的要求。</w:t>
      </w:r>
    </w:p>
    <w:p w14:paraId="710B14C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（2）因地制宜地选择适用路面结构形式。</w:t>
      </w:r>
    </w:p>
    <w:p w14:paraId="7F852E2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（3）道路设计应充分注意水土保持及环境保护，努力做到道路景观与油茶基地景观相协调。</w:t>
      </w:r>
    </w:p>
    <w:p w14:paraId="3AE9929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（4）道路设计应根据确定的道路类别、等级、红线宽度等条件合理选择工程设计标准，各项指标选用应安全经济、适用。</w:t>
      </w:r>
    </w:p>
    <w:p w14:paraId="4DB0774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（5）结合业主要求及建议，综合考虑造价等原因，完善油茶基地作业通行条件。</w:t>
      </w:r>
    </w:p>
    <w:p w14:paraId="5E57624D">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508" w:name="_Toc18645"/>
      <w:bookmarkStart w:id="509" w:name="_Toc14270"/>
      <w:bookmarkStart w:id="510" w:name="_Toc22178"/>
      <w:r>
        <w:rPr>
          <w:rFonts w:hint="eastAsia" w:ascii="黑体" w:hAnsi="黑体" w:cs="Times New Roman"/>
          <w:bCs w:val="0"/>
          <w:kern w:val="0"/>
          <w:sz w:val="32"/>
          <w:szCs w:val="32"/>
          <w:lang w:val="en-US" w:eastAsia="zh-CN"/>
        </w:rPr>
        <w:t>5.2 技术标准</w:t>
      </w:r>
      <w:bookmarkEnd w:id="508"/>
      <w:bookmarkEnd w:id="509"/>
      <w:bookmarkEnd w:id="510"/>
    </w:p>
    <w:p w14:paraId="735287D2">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 xml:space="preserve">5.2.1线型设计原则 </w:t>
      </w:r>
    </w:p>
    <w:p w14:paraId="1C9561D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（1）确定路线走廊带应考虑走廊带内各种运输体系及不同层次路网间的分工与配合，按照其功能统筹规划。近远期结合，合理布局。</w:t>
      </w:r>
    </w:p>
    <w:p w14:paraId="4132C7B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必须由面到带，由带到线，在对地形地貌、地质水文、气候气象、环境敏感区等调查与勘察的基础上论证、确定路线方案。同一起点和同一起终点的路段内有多个可行路线方案时，应对各设计方案进行综合比选。</w:t>
      </w:r>
    </w:p>
    <w:p w14:paraId="7CBD2B5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（3）应考虑同农田与水利建设、矿产资源开发和城市发展等规划的配合。</w:t>
      </w:r>
    </w:p>
    <w:p w14:paraId="2430089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（4）应充分利用建设用地，严格保护农用耕地；应保护生态环境，并同当地景观相协调，</w:t>
      </w:r>
    </w:p>
    <w:p w14:paraId="253296F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（5）应尽可能避让不可移动文物、水源地和自然保护区。</w:t>
      </w:r>
    </w:p>
    <w:p w14:paraId="0134093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（6）应保持与易燃、易爆等危险源及污染源间的安全距离。</w:t>
      </w:r>
    </w:p>
    <w:p w14:paraId="1B8B27E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本次设计道路，路线走向分为两类：一是顺山沿水，二是横越河谷和山岭。顺山沿水路线又可按行经地带的部位分为沿河线、越岭线、山脊线、山腰线等线型。平面走向根据建设单位提供的地形图、道路红线、中心线及道路坐标确定。道路整体呈不规则走向，其中宽1米土路作业道路3381米，宽3米（含路肩）土路作业道路550米。</w:t>
      </w:r>
    </w:p>
    <w:p w14:paraId="1AC35F9B">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 xml:space="preserve">5.2.2纵坡设计原则 </w:t>
      </w:r>
    </w:p>
    <w:p w14:paraId="37BE28B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（1）纵断面设计应根据道路实际情况、性质满足规范的各项规定。</w:t>
      </w:r>
    </w:p>
    <w:p w14:paraId="7A52394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（2）纵坡应具有一定的平顺性，起伏不宜过大和过于频繁。尽量避免采用极限纵坡值。</w:t>
      </w:r>
    </w:p>
    <w:p w14:paraId="71439BA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（3）纵坡设计应对沿线地形、地质、水文、气候和排水等综合考虑视具体情况加以处理，以保证道路的稳定和通畅。</w:t>
      </w:r>
    </w:p>
    <w:p w14:paraId="4A949190">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（4）一般情况下的纵坡设计应考虑填挖平衡，尽量使挖方运到就近路段填方，以减少借方和废方，降低造价和节省用地。</w:t>
      </w:r>
    </w:p>
    <w:p w14:paraId="22E3A38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（5）纵断面线形设计时要注意与平面线形的配合，并应尽量按立体线形的要求进行设计，使其成为良好的线形。</w:t>
      </w:r>
    </w:p>
    <w:p w14:paraId="63A01C9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本项目道路纵断按现状拟合，对局部道路路面出现沉降处，修复后标高须与两侧协调一致，保持道路低点不变。涉及的道路主要为宽3米（含路肩）的作业车道。3米的内部作业车道根据实际车辆性能及工程实际情况，建议最大坡度控制在20%以内，对于内部作业车道旁设置排水沟。</w:t>
      </w:r>
    </w:p>
    <w:p w14:paraId="05841F22">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 xml:space="preserve">5.2.3横断面设计原则 </w:t>
      </w:r>
    </w:p>
    <w:p w14:paraId="3C38335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（1）根据所处的区域，布置不同的横断面形式，使其满足作业通行服务功能，并与该区域的路网相协调。</w:t>
      </w:r>
    </w:p>
    <w:p w14:paraId="29D1E30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（2）充分考虑道路景观和生态环境相结合。</w:t>
      </w:r>
    </w:p>
    <w:p w14:paraId="3002C119">
      <w:pPr>
        <w:keepNext w:val="0"/>
        <w:keepLines w:val="0"/>
        <w:pageBreakBefore w:val="0"/>
        <w:widowControl w:val="0"/>
        <w:kinsoku/>
        <w:wordWrap/>
        <w:overflowPunct/>
        <w:topLinePunct w:val="0"/>
        <w:autoSpaceDE/>
        <w:autoSpaceDN/>
        <w:bidi w:val="0"/>
        <w:adjustRightInd/>
        <w:snapToGrid/>
        <w:spacing w:after="0" w:line="240" w:lineRule="auto"/>
        <w:ind w:left="0" w:leftChars="0" w:firstLine="0" w:firstLineChars="0"/>
        <w:jc w:val="center"/>
        <w:textAlignment w:val="auto"/>
      </w:pPr>
      <w:r>
        <w:drawing>
          <wp:inline distT="0" distB="0" distL="114300" distR="114300">
            <wp:extent cx="5273040" cy="3272790"/>
            <wp:effectExtent l="0" t="0" r="0" b="3810"/>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
                    <pic:cNvPicPr>
                      <a:picLocks noChangeAspect="1"/>
                    </pic:cNvPicPr>
                  </pic:nvPicPr>
                  <pic:blipFill>
                    <a:blip r:embed="rId50"/>
                    <a:stretch>
                      <a:fillRect/>
                    </a:stretch>
                  </pic:blipFill>
                  <pic:spPr>
                    <a:xfrm>
                      <a:off x="0" y="0"/>
                      <a:ext cx="5273040" cy="3272790"/>
                    </a:xfrm>
                    <a:prstGeom prst="rect">
                      <a:avLst/>
                    </a:prstGeom>
                    <a:noFill/>
                    <a:ln>
                      <a:noFill/>
                    </a:ln>
                  </pic:spPr>
                </pic:pic>
              </a:graphicData>
            </a:graphic>
          </wp:inline>
        </w:drawing>
      </w:r>
    </w:p>
    <w:p w14:paraId="50E705CF">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eastAsia" w:ascii="楷体" w:hAnsi="楷体" w:eastAsia="楷体" w:cs="楷体"/>
          <w:b/>
          <w:bCs/>
          <w:color w:val="0000FF"/>
          <w:sz w:val="24"/>
          <w:szCs w:val="24"/>
          <w:lang w:val="en-US" w:eastAsia="zh-CN"/>
        </w:rPr>
      </w:pPr>
      <w:r>
        <w:rPr>
          <w:rFonts w:hint="eastAsia" w:ascii="楷体" w:hAnsi="楷体" w:eastAsia="楷体" w:cs="楷体"/>
          <w:b/>
          <w:bCs/>
          <w:color w:val="0000FF"/>
          <w:sz w:val="24"/>
          <w:szCs w:val="24"/>
          <w:lang w:val="en-US" w:eastAsia="zh-CN"/>
        </w:rPr>
        <w:t>图5-2 道路标准横断面图</w:t>
      </w:r>
    </w:p>
    <w:p w14:paraId="7F99FF2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本次道路断面为3m宽（含路肩）土路以及1m宽土路，局部道路断面可按现状实际调整。道路路拱形式采用直线型，横坡坡度为1.5%，单向坡，坡向地势较低处。</w:t>
      </w:r>
    </w:p>
    <w:p w14:paraId="0E188A9C">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511" w:name="_Toc7005"/>
      <w:bookmarkStart w:id="512" w:name="_Toc1370"/>
      <w:r>
        <w:rPr>
          <w:rFonts w:hint="eastAsia" w:ascii="黑体" w:hAnsi="黑体" w:cs="Times New Roman"/>
          <w:bCs w:val="0"/>
          <w:kern w:val="0"/>
          <w:sz w:val="32"/>
          <w:szCs w:val="32"/>
          <w:lang w:val="en-US" w:eastAsia="zh-CN"/>
        </w:rPr>
        <w:t>5.3 路面结构</w:t>
      </w:r>
      <w:bookmarkEnd w:id="511"/>
      <w:bookmarkEnd w:id="512"/>
    </w:p>
    <w:p w14:paraId="4B181F7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本项目路面为土路，采用素土或碎石就地取材进行压实，夯实度≥95%。</w:t>
      </w:r>
    </w:p>
    <w:p w14:paraId="10A5EC28">
      <w:pPr>
        <w:pageBreakBefore w:val="0"/>
        <w:widowControl/>
        <w:kinsoku/>
        <w:wordWrap/>
        <w:overflowPunct/>
        <w:topLinePunct w:val="0"/>
        <w:bidi w:val="0"/>
        <w:spacing w:after="0" w:line="360" w:lineRule="auto"/>
        <w:ind w:firstLine="0" w:firstLineChars="0"/>
        <w:rPr>
          <w:rFonts w:hint="eastAsia" w:ascii="Times New Roman" w:hAnsi="Times New Roman" w:eastAsia="仿宋_GB2312" w:cs="Times New Roman"/>
          <w:bCs/>
          <w:sz w:val="28"/>
          <w:szCs w:val="28"/>
          <w:lang w:eastAsia="zh-CN"/>
        </w:rPr>
      </w:pPr>
      <w:r>
        <w:drawing>
          <wp:inline distT="0" distB="0" distL="114300" distR="114300">
            <wp:extent cx="5266690" cy="2122805"/>
            <wp:effectExtent l="0" t="0" r="6350" b="1079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51"/>
                    <a:stretch>
                      <a:fillRect/>
                    </a:stretch>
                  </pic:blipFill>
                  <pic:spPr>
                    <a:xfrm>
                      <a:off x="0" y="0"/>
                      <a:ext cx="5266690" cy="2122805"/>
                    </a:xfrm>
                    <a:prstGeom prst="rect">
                      <a:avLst/>
                    </a:prstGeom>
                    <a:noFill/>
                    <a:ln>
                      <a:noFill/>
                    </a:ln>
                  </pic:spPr>
                </pic:pic>
              </a:graphicData>
            </a:graphic>
          </wp:inline>
        </w:drawing>
      </w:r>
    </w:p>
    <w:p w14:paraId="47B221C4">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eastAsia" w:ascii="楷体" w:hAnsi="楷体" w:eastAsia="楷体" w:cs="楷体"/>
          <w:b/>
          <w:bCs/>
          <w:color w:val="0000FF"/>
          <w:sz w:val="24"/>
          <w:szCs w:val="24"/>
          <w:lang w:val="en-US" w:eastAsia="zh-CN"/>
        </w:rPr>
      </w:pPr>
      <w:r>
        <w:rPr>
          <w:rFonts w:hint="eastAsia" w:ascii="楷体" w:hAnsi="楷体" w:eastAsia="楷体" w:cs="楷体"/>
          <w:b/>
          <w:bCs/>
          <w:color w:val="0000FF"/>
          <w:sz w:val="24"/>
          <w:szCs w:val="24"/>
          <w:lang w:val="en-US" w:eastAsia="zh-CN"/>
        </w:rPr>
        <w:t>图5-3 道路路面结构图</w:t>
      </w:r>
    </w:p>
    <w:p w14:paraId="14AE9706">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513" w:name="_Toc16748"/>
      <w:bookmarkStart w:id="514" w:name="_Toc26436"/>
      <w:bookmarkStart w:id="515" w:name="_Toc28121"/>
      <w:r>
        <w:rPr>
          <w:rFonts w:hint="eastAsia" w:ascii="黑体" w:hAnsi="黑体" w:cs="Times New Roman"/>
          <w:bCs w:val="0"/>
          <w:kern w:val="0"/>
          <w:sz w:val="32"/>
          <w:szCs w:val="32"/>
          <w:lang w:val="en-US" w:eastAsia="zh-CN"/>
        </w:rPr>
        <w:t>5.4 路基处理</w:t>
      </w:r>
      <w:bookmarkEnd w:id="513"/>
      <w:bookmarkEnd w:id="514"/>
      <w:bookmarkEnd w:id="515"/>
    </w:p>
    <w:p w14:paraId="6D26F16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路基设计严格按照《公路路基设计规范》（JTG D30-2015）执行，并根据路基填挖高度、水文、地质等情况对路基工程进行综合设计，减少对生态环境的影响。基本设计原则为：</w:t>
      </w:r>
    </w:p>
    <w:p w14:paraId="6C73451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（1）结合地形地质条件，水文条件，路基填挖高度，选择适当的路基横断面形式和路基高度，考虑路基防护及排水措施。</w:t>
      </w:r>
    </w:p>
    <w:p w14:paraId="5B68839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（2）积极推广、应用成熟的新技术，新材料、新工艺。</w:t>
      </w:r>
    </w:p>
    <w:p w14:paraId="4598C23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（3）合理选择土路基填料，充分考虑当地土石来源，做到因地取材。</w:t>
      </w:r>
    </w:p>
    <w:p w14:paraId="7718E18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（4）路基稳定系数要求达到1.25。</w:t>
      </w:r>
    </w:p>
    <w:p w14:paraId="7EEF32D8">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（5）路基允许工后变形：一般路段≤0.50m。</w:t>
      </w:r>
    </w:p>
    <w:p w14:paraId="7D992B92">
      <w:pPr>
        <w:keepNext w:val="0"/>
        <w:keepLines w:val="0"/>
        <w:pageBreakBefore w:val="0"/>
        <w:widowControl w:val="0"/>
        <w:kinsoku/>
        <w:wordWrap/>
        <w:overflowPunct/>
        <w:topLinePunct w:val="0"/>
        <w:autoSpaceDE/>
        <w:autoSpaceDN/>
        <w:bidi w:val="0"/>
        <w:adjustRightInd/>
        <w:snapToGrid/>
        <w:spacing w:after="0" w:line="240" w:lineRule="auto"/>
        <w:ind w:left="0" w:leftChars="0" w:firstLine="0" w:firstLineChars="0"/>
        <w:jc w:val="center"/>
        <w:textAlignment w:val="auto"/>
      </w:pPr>
      <w:r>
        <w:drawing>
          <wp:inline distT="0" distB="0" distL="114300" distR="114300">
            <wp:extent cx="5264785" cy="1488440"/>
            <wp:effectExtent l="0" t="0" r="8255" b="508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52"/>
                    <a:stretch>
                      <a:fillRect/>
                    </a:stretch>
                  </pic:blipFill>
                  <pic:spPr>
                    <a:xfrm>
                      <a:off x="0" y="0"/>
                      <a:ext cx="5264785" cy="1488440"/>
                    </a:xfrm>
                    <a:prstGeom prst="rect">
                      <a:avLst/>
                    </a:prstGeom>
                    <a:noFill/>
                    <a:ln>
                      <a:noFill/>
                    </a:ln>
                  </pic:spPr>
                </pic:pic>
              </a:graphicData>
            </a:graphic>
          </wp:inline>
        </w:drawing>
      </w:r>
    </w:p>
    <w:p w14:paraId="4A60E0AE">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eastAsia" w:ascii="楷体" w:hAnsi="楷体" w:eastAsia="楷体" w:cs="楷体"/>
          <w:b/>
          <w:bCs/>
          <w:color w:val="0000FF"/>
          <w:sz w:val="24"/>
          <w:szCs w:val="24"/>
          <w:lang w:val="en-US" w:eastAsia="zh-CN"/>
        </w:rPr>
      </w:pPr>
      <w:r>
        <w:rPr>
          <w:rFonts w:hint="eastAsia" w:ascii="楷体" w:hAnsi="楷体" w:eastAsia="楷体" w:cs="楷体"/>
          <w:b/>
          <w:bCs/>
          <w:color w:val="0000FF"/>
          <w:sz w:val="24"/>
          <w:szCs w:val="24"/>
          <w:lang w:val="en-US" w:eastAsia="zh-CN"/>
        </w:rPr>
        <w:t>图5-4 道路路基处理模式图</w:t>
      </w:r>
    </w:p>
    <w:p w14:paraId="7E49BD5D">
      <w:pPr>
        <w:pStyle w:val="29"/>
        <w:keepNext w:val="0"/>
        <w:keepLines w:val="0"/>
        <w:pageBreakBefore w:val="0"/>
        <w:widowControl w:val="0"/>
        <w:kinsoku/>
        <w:wordWrap/>
        <w:overflowPunct/>
        <w:topLinePunct w:val="0"/>
        <w:bidi w:val="0"/>
        <w:snapToGrid/>
        <w:spacing w:line="240" w:lineRule="auto"/>
        <w:ind w:firstLine="0" w:firstLineChars="0"/>
        <w:jc w:val="center"/>
        <w:textAlignment w:val="auto"/>
        <w:rPr>
          <w:rFonts w:hint="default" w:ascii="楷体" w:hAnsi="楷体" w:eastAsia="楷体" w:cs="楷体"/>
          <w:b/>
          <w:bCs/>
          <w:color w:val="0000FF"/>
          <w:sz w:val="24"/>
          <w:szCs w:val="24"/>
          <w:lang w:val="en-US" w:eastAsia="zh-CN"/>
        </w:rPr>
      </w:pPr>
    </w:p>
    <w:p w14:paraId="4FC0E3C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如遇路基需要处理，应清除杂草、树根、腐殖物及其他杂物，清除的表土作为弃土。在清表后，先进行原地面整平、夯实与碾压，并形成3%的施工横坡，以利于排水。基底应在填筑前进行压实，压实度按规范要求，当路堤填土高度小于路床厚度时，基底的压实度不宜小于路床的压实度标准。</w:t>
      </w:r>
    </w:p>
    <w:p w14:paraId="3805221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现场应妥善处理坟坑、井穴，并分层填实至原基面高。</w:t>
      </w:r>
    </w:p>
    <w:p w14:paraId="689AD66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横坡陡于1:5的坡地上的填方路基，在填筑前，需将地面挖成台阶，台阶宽度不小于1m，台阶顶面做成2％～4％的反向横坡，以防路基滑动而影响其稳定性。</w:t>
      </w:r>
    </w:p>
    <w:p w14:paraId="590364F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（1）路基施工前应做好路基排水措施，在道路两侧采用开挖明沟或布设盲沟等措施疏干路基，填土地段表层应保持干燥，不得有积水。</w:t>
      </w:r>
    </w:p>
    <w:p w14:paraId="38ABA3A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（2）施工前需先清除表层含生活垃圾和有机物质较多的耕作土、杂填土，然后在其上用塘渣分层回填压实，至路基顶面以下80cm,单层压实厚度不大于30cm。</w:t>
      </w:r>
    </w:p>
    <w:p w14:paraId="6A3AB36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（3）土质挖方路段且E0值达不到设计要求的路床部分，必须在开挖后严格按路床压实度要求分层回填压实。</w:t>
      </w:r>
    </w:p>
    <w:p w14:paraId="3DD8F741">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（4）当地下水位较高时，须设置40cm厚沙砾隔水层。</w:t>
      </w:r>
    </w:p>
    <w:p w14:paraId="50E45F4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（5）全填段按实际需要布设水沟。</w:t>
      </w:r>
    </w:p>
    <w:p w14:paraId="54147321">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516" w:name="_Toc16122"/>
      <w:bookmarkStart w:id="517" w:name="_Toc6167"/>
      <w:bookmarkStart w:id="518" w:name="_Toc5912"/>
      <w:r>
        <w:rPr>
          <w:rFonts w:hint="eastAsia" w:ascii="黑体" w:hAnsi="黑体" w:cs="Times New Roman"/>
          <w:bCs w:val="0"/>
          <w:kern w:val="0"/>
          <w:sz w:val="32"/>
          <w:szCs w:val="32"/>
          <w:lang w:val="en-US" w:eastAsia="zh-CN"/>
        </w:rPr>
        <w:t>5.5 路基填料</w:t>
      </w:r>
      <w:bookmarkEnd w:id="516"/>
      <w:bookmarkEnd w:id="517"/>
      <w:bookmarkEnd w:id="518"/>
    </w:p>
    <w:p w14:paraId="5B45F49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填方路基填料采用现状土，应分层填筑，每层厚度不得超过30cm。路基填料最大粒径应符合下列规定：</w:t>
      </w:r>
    </w:p>
    <w:p w14:paraId="31A9D28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填方路基路面底面以下0～80cm层填料最大粒径应不大于10cm。填方路基路面底面80cm层填料最大粒径应不大于15cm。</w:t>
      </w:r>
    </w:p>
    <w:p w14:paraId="67C0480E">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519" w:name="_Toc10015"/>
      <w:bookmarkStart w:id="520" w:name="_Toc16815"/>
      <w:bookmarkStart w:id="521" w:name="_Toc10374"/>
      <w:r>
        <w:rPr>
          <w:rFonts w:hint="eastAsia" w:ascii="黑体" w:hAnsi="黑体" w:cs="Times New Roman"/>
          <w:bCs w:val="0"/>
          <w:kern w:val="0"/>
          <w:sz w:val="32"/>
          <w:szCs w:val="32"/>
          <w:lang w:val="en-US" w:eastAsia="zh-CN"/>
        </w:rPr>
        <w:t>5.6 压实标准及填筑要求</w:t>
      </w:r>
      <w:bookmarkEnd w:id="519"/>
      <w:bookmarkEnd w:id="520"/>
      <w:bookmarkEnd w:id="521"/>
    </w:p>
    <w:p w14:paraId="0AEB9CC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路基压实采用《公路路基设计规范》（JTG D30-2015）中要求的重型压实标准路，填方高度小于80cm及不填不挖路段，原地面以下0-30cm范围内的压实度不应低于下表挖方要求，压实度设计指标如</w:t>
      </w:r>
      <w:r>
        <w:rPr>
          <w:rFonts w:hint="default" w:ascii="Times New Roman" w:hAnsi="Times New Roman" w:eastAsia="仿宋_GB2312" w:cs="Times New Roman"/>
          <w:bCs/>
          <w:kern w:val="0"/>
          <w:sz w:val="28"/>
          <w:szCs w:val="28"/>
          <w:lang w:val="en-US" w:eastAsia="zh-CN"/>
        </w:rPr>
        <w:t>下</w:t>
      </w:r>
      <w:r>
        <w:rPr>
          <w:rFonts w:hint="eastAsia" w:ascii="Times New Roman" w:hAnsi="Times New Roman" w:eastAsia="仿宋_GB2312" w:cs="Times New Roman"/>
          <w:bCs/>
          <w:kern w:val="0"/>
          <w:sz w:val="28"/>
          <w:szCs w:val="28"/>
          <w:lang w:val="en-US" w:eastAsia="zh-CN"/>
        </w:rPr>
        <w:t>：</w:t>
      </w:r>
    </w:p>
    <w:p w14:paraId="4D83062F">
      <w:pPr>
        <w:pStyle w:val="9"/>
        <w:pageBreakBefore w:val="0"/>
        <w:widowControl w:val="0"/>
        <w:kinsoku/>
        <w:wordWrap/>
        <w:overflowPunct/>
        <w:topLinePunct w:val="0"/>
        <w:bidi w:val="0"/>
        <w:spacing w:line="360" w:lineRule="auto"/>
        <w:ind w:firstLine="1547" w:firstLineChars="642"/>
        <w:rPr>
          <w:rFonts w:hint="eastAsia" w:ascii="楷体" w:hAnsi="楷体" w:eastAsia="楷体" w:cs="楷体"/>
          <w:b/>
          <w:bCs w:val="0"/>
          <w:kern w:val="0"/>
          <w:sz w:val="24"/>
          <w:szCs w:val="24"/>
        </w:rPr>
      </w:pPr>
      <w:r>
        <w:rPr>
          <w:rFonts w:hint="eastAsia" w:ascii="楷体" w:hAnsi="楷体" w:eastAsia="楷体" w:cs="楷体"/>
          <w:b/>
          <w:bCs w:val="0"/>
          <w:kern w:val="0"/>
          <w:sz w:val="24"/>
          <w:szCs w:val="24"/>
          <w:lang w:val="en-US" w:eastAsia="zh-CN"/>
        </w:rPr>
        <w:t xml:space="preserve">表5-1 </w:t>
      </w:r>
      <w:r>
        <w:rPr>
          <w:rFonts w:hint="eastAsia" w:ascii="楷体" w:hAnsi="楷体" w:eastAsia="楷体" w:cs="楷体"/>
          <w:b/>
          <w:bCs w:val="0"/>
          <w:kern w:val="0"/>
          <w:sz w:val="24"/>
          <w:szCs w:val="24"/>
        </w:rPr>
        <w:t>路基压实标准、填料最小强度及最大粒径要求</w:t>
      </w:r>
    </w:p>
    <w:tbl>
      <w:tblPr>
        <w:tblStyle w:val="2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3"/>
        <w:gridCol w:w="2177"/>
        <w:gridCol w:w="1546"/>
        <w:gridCol w:w="2337"/>
        <w:gridCol w:w="1546"/>
      </w:tblGrid>
      <w:tr w14:paraId="241A0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6" w:type="pct"/>
            <w:vMerge w:val="restart"/>
            <w:vAlign w:val="center"/>
          </w:tcPr>
          <w:p w14:paraId="5D6FB3E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项目</w:t>
            </w:r>
          </w:p>
          <w:p w14:paraId="18B18D3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分类</w:t>
            </w:r>
          </w:p>
        </w:tc>
        <w:tc>
          <w:tcPr>
            <w:tcW w:w="1277" w:type="pct"/>
            <w:vMerge w:val="restart"/>
            <w:vAlign w:val="center"/>
          </w:tcPr>
          <w:p w14:paraId="2E85459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路槽底面以下</w:t>
            </w:r>
          </w:p>
          <w:p w14:paraId="17219FA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lang w:eastAsia="zh-CN"/>
              </w:rPr>
            </w:pPr>
            <w:r>
              <w:rPr>
                <w:rFonts w:hint="eastAsia" w:ascii="楷体" w:hAnsi="楷体" w:eastAsia="楷体" w:cs="楷体"/>
                <w:sz w:val="24"/>
                <w:szCs w:val="24"/>
              </w:rPr>
              <w:t>深度</w:t>
            </w:r>
            <w:r>
              <w:rPr>
                <w:rFonts w:hint="eastAsia" w:ascii="楷体" w:hAnsi="楷体" w:eastAsia="楷体" w:cs="楷体"/>
                <w:sz w:val="24"/>
                <w:szCs w:val="24"/>
                <w:lang w:eastAsia="zh-CN"/>
              </w:rPr>
              <w:t>（</w:t>
            </w:r>
            <w:r>
              <w:rPr>
                <w:rFonts w:hint="eastAsia" w:ascii="楷体" w:hAnsi="楷体" w:eastAsia="楷体" w:cs="楷体"/>
                <w:sz w:val="24"/>
                <w:szCs w:val="24"/>
              </w:rPr>
              <w:t>cm</w:t>
            </w:r>
            <w:r>
              <w:rPr>
                <w:rFonts w:hint="eastAsia" w:ascii="楷体" w:hAnsi="楷体" w:eastAsia="楷体" w:cs="楷体"/>
                <w:sz w:val="24"/>
                <w:szCs w:val="24"/>
                <w:lang w:eastAsia="zh-CN"/>
              </w:rPr>
              <w:t>）</w:t>
            </w:r>
          </w:p>
        </w:tc>
        <w:tc>
          <w:tcPr>
            <w:tcW w:w="2278" w:type="pct"/>
            <w:gridSpan w:val="2"/>
            <w:vAlign w:val="center"/>
          </w:tcPr>
          <w:p w14:paraId="36BADC8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材料</w:t>
            </w:r>
          </w:p>
        </w:tc>
        <w:tc>
          <w:tcPr>
            <w:tcW w:w="907" w:type="pct"/>
            <w:vAlign w:val="center"/>
          </w:tcPr>
          <w:p w14:paraId="08AF304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压实度</w:t>
            </w:r>
          </w:p>
        </w:tc>
      </w:tr>
      <w:tr w14:paraId="55BE3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6" w:type="pct"/>
            <w:vMerge w:val="continue"/>
            <w:vAlign w:val="center"/>
          </w:tcPr>
          <w:p w14:paraId="6A01AAD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p>
        </w:tc>
        <w:tc>
          <w:tcPr>
            <w:tcW w:w="1277" w:type="pct"/>
            <w:vMerge w:val="continue"/>
            <w:vAlign w:val="center"/>
          </w:tcPr>
          <w:p w14:paraId="49AA599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p>
        </w:tc>
        <w:tc>
          <w:tcPr>
            <w:tcW w:w="907" w:type="pct"/>
            <w:vAlign w:val="center"/>
          </w:tcPr>
          <w:p w14:paraId="74AF3A0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材料最大</w:t>
            </w:r>
          </w:p>
          <w:p w14:paraId="6A52205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lang w:eastAsia="zh-CN"/>
              </w:rPr>
            </w:pPr>
            <w:r>
              <w:rPr>
                <w:rFonts w:hint="eastAsia" w:ascii="楷体" w:hAnsi="楷体" w:eastAsia="楷体" w:cs="楷体"/>
                <w:sz w:val="24"/>
                <w:szCs w:val="24"/>
              </w:rPr>
              <w:t>粒径</w:t>
            </w:r>
            <w:r>
              <w:rPr>
                <w:rFonts w:hint="eastAsia" w:ascii="楷体" w:hAnsi="楷体" w:eastAsia="楷体" w:cs="楷体"/>
                <w:sz w:val="24"/>
                <w:szCs w:val="24"/>
                <w:lang w:eastAsia="zh-CN"/>
              </w:rPr>
              <w:t>（</w:t>
            </w:r>
            <w:r>
              <w:rPr>
                <w:rFonts w:hint="eastAsia" w:ascii="楷体" w:hAnsi="楷体" w:eastAsia="楷体" w:cs="楷体"/>
                <w:sz w:val="24"/>
                <w:szCs w:val="24"/>
              </w:rPr>
              <w:t>cm</w:t>
            </w:r>
            <w:r>
              <w:rPr>
                <w:rFonts w:hint="eastAsia" w:ascii="楷体" w:hAnsi="楷体" w:eastAsia="楷体" w:cs="楷体"/>
                <w:sz w:val="24"/>
                <w:szCs w:val="24"/>
                <w:lang w:eastAsia="zh-CN"/>
              </w:rPr>
              <w:t>）</w:t>
            </w:r>
          </w:p>
        </w:tc>
        <w:tc>
          <w:tcPr>
            <w:tcW w:w="1370" w:type="pct"/>
            <w:vAlign w:val="center"/>
          </w:tcPr>
          <w:p w14:paraId="2A645AD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材料最小</w:t>
            </w:r>
          </w:p>
          <w:p w14:paraId="3E4D412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lang w:eastAsia="zh-CN"/>
              </w:rPr>
            </w:pPr>
            <w:r>
              <w:rPr>
                <w:rFonts w:hint="eastAsia" w:ascii="楷体" w:hAnsi="楷体" w:eastAsia="楷体" w:cs="楷体"/>
                <w:sz w:val="24"/>
                <w:szCs w:val="24"/>
              </w:rPr>
              <w:t>强度（CBR</w:t>
            </w:r>
            <w:r>
              <w:rPr>
                <w:rFonts w:hint="eastAsia" w:ascii="楷体" w:hAnsi="楷体" w:eastAsia="楷体" w:cs="楷体"/>
                <w:sz w:val="24"/>
                <w:szCs w:val="24"/>
                <w:lang w:eastAsia="zh-CN"/>
              </w:rPr>
              <w:t>）（</w:t>
            </w:r>
            <w:r>
              <w:rPr>
                <w:rFonts w:hint="eastAsia" w:ascii="楷体" w:hAnsi="楷体" w:eastAsia="楷体" w:cs="楷体"/>
                <w:sz w:val="24"/>
                <w:szCs w:val="24"/>
              </w:rPr>
              <w:t>%</w:t>
            </w:r>
            <w:r>
              <w:rPr>
                <w:rFonts w:hint="eastAsia" w:ascii="楷体" w:hAnsi="楷体" w:eastAsia="楷体" w:cs="楷体"/>
                <w:sz w:val="24"/>
                <w:szCs w:val="24"/>
                <w:lang w:eastAsia="zh-CN"/>
              </w:rPr>
              <w:t>）</w:t>
            </w:r>
          </w:p>
        </w:tc>
        <w:tc>
          <w:tcPr>
            <w:tcW w:w="907" w:type="pct"/>
            <w:vAlign w:val="center"/>
          </w:tcPr>
          <w:p w14:paraId="4850B86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重型压实</w:t>
            </w:r>
          </w:p>
          <w:p w14:paraId="056694F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度（%）</w:t>
            </w:r>
          </w:p>
        </w:tc>
      </w:tr>
      <w:tr w14:paraId="0B4AE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6" w:type="pct"/>
            <w:vMerge w:val="restart"/>
            <w:vAlign w:val="center"/>
          </w:tcPr>
          <w:p w14:paraId="6A05886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填方</w:t>
            </w:r>
          </w:p>
        </w:tc>
        <w:tc>
          <w:tcPr>
            <w:tcW w:w="1277" w:type="pct"/>
            <w:vAlign w:val="center"/>
          </w:tcPr>
          <w:p w14:paraId="0889890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0-30</w:t>
            </w:r>
          </w:p>
        </w:tc>
        <w:tc>
          <w:tcPr>
            <w:tcW w:w="907" w:type="pct"/>
            <w:vAlign w:val="center"/>
          </w:tcPr>
          <w:p w14:paraId="2534076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10</w:t>
            </w:r>
          </w:p>
        </w:tc>
        <w:tc>
          <w:tcPr>
            <w:tcW w:w="1370" w:type="pct"/>
            <w:vAlign w:val="center"/>
          </w:tcPr>
          <w:p w14:paraId="4D1FB08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5</w:t>
            </w:r>
          </w:p>
        </w:tc>
        <w:tc>
          <w:tcPr>
            <w:tcW w:w="907" w:type="pct"/>
            <w:vAlign w:val="center"/>
          </w:tcPr>
          <w:p w14:paraId="1C07C3E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≥95</w:t>
            </w:r>
          </w:p>
        </w:tc>
      </w:tr>
      <w:tr w14:paraId="53FA1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6" w:type="pct"/>
            <w:vMerge w:val="continue"/>
            <w:vAlign w:val="center"/>
          </w:tcPr>
          <w:p w14:paraId="3F89769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p>
        </w:tc>
        <w:tc>
          <w:tcPr>
            <w:tcW w:w="1277" w:type="pct"/>
            <w:vAlign w:val="center"/>
          </w:tcPr>
          <w:p w14:paraId="09026D7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30-80</w:t>
            </w:r>
          </w:p>
        </w:tc>
        <w:tc>
          <w:tcPr>
            <w:tcW w:w="907" w:type="pct"/>
            <w:vAlign w:val="center"/>
          </w:tcPr>
          <w:p w14:paraId="0F89C59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10</w:t>
            </w:r>
          </w:p>
        </w:tc>
        <w:tc>
          <w:tcPr>
            <w:tcW w:w="1370" w:type="pct"/>
            <w:vAlign w:val="center"/>
          </w:tcPr>
          <w:p w14:paraId="6A6EF69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3</w:t>
            </w:r>
          </w:p>
        </w:tc>
        <w:tc>
          <w:tcPr>
            <w:tcW w:w="907" w:type="pct"/>
            <w:vAlign w:val="center"/>
          </w:tcPr>
          <w:p w14:paraId="37ABA20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≥95</w:t>
            </w:r>
          </w:p>
        </w:tc>
      </w:tr>
      <w:tr w14:paraId="7CD58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6" w:type="pct"/>
            <w:vMerge w:val="continue"/>
            <w:vAlign w:val="center"/>
          </w:tcPr>
          <w:p w14:paraId="366BB6C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p>
        </w:tc>
        <w:tc>
          <w:tcPr>
            <w:tcW w:w="1277" w:type="pct"/>
            <w:vAlign w:val="center"/>
          </w:tcPr>
          <w:p w14:paraId="1AB83F2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80-150</w:t>
            </w:r>
          </w:p>
        </w:tc>
        <w:tc>
          <w:tcPr>
            <w:tcW w:w="907" w:type="pct"/>
            <w:vAlign w:val="center"/>
          </w:tcPr>
          <w:p w14:paraId="0905F8D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15</w:t>
            </w:r>
          </w:p>
        </w:tc>
        <w:tc>
          <w:tcPr>
            <w:tcW w:w="1370" w:type="pct"/>
            <w:vAlign w:val="center"/>
          </w:tcPr>
          <w:p w14:paraId="3C31C95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3</w:t>
            </w:r>
          </w:p>
        </w:tc>
        <w:tc>
          <w:tcPr>
            <w:tcW w:w="907" w:type="pct"/>
            <w:vAlign w:val="center"/>
          </w:tcPr>
          <w:p w14:paraId="64B801E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≥94</w:t>
            </w:r>
          </w:p>
        </w:tc>
      </w:tr>
      <w:tr w14:paraId="1C28F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6" w:type="pct"/>
            <w:vMerge w:val="continue"/>
            <w:vAlign w:val="center"/>
          </w:tcPr>
          <w:p w14:paraId="050D7DF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p>
        </w:tc>
        <w:tc>
          <w:tcPr>
            <w:tcW w:w="1277" w:type="pct"/>
            <w:vAlign w:val="center"/>
          </w:tcPr>
          <w:p w14:paraId="2A94DC5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150以下</w:t>
            </w:r>
          </w:p>
        </w:tc>
        <w:tc>
          <w:tcPr>
            <w:tcW w:w="907" w:type="pct"/>
            <w:vAlign w:val="center"/>
          </w:tcPr>
          <w:p w14:paraId="31CF26E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15</w:t>
            </w:r>
          </w:p>
        </w:tc>
        <w:tc>
          <w:tcPr>
            <w:tcW w:w="1370" w:type="pct"/>
            <w:vAlign w:val="center"/>
          </w:tcPr>
          <w:p w14:paraId="58476C7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3</w:t>
            </w:r>
          </w:p>
        </w:tc>
        <w:tc>
          <w:tcPr>
            <w:tcW w:w="907" w:type="pct"/>
            <w:vAlign w:val="center"/>
          </w:tcPr>
          <w:p w14:paraId="7D90FE8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≥92</w:t>
            </w:r>
          </w:p>
        </w:tc>
      </w:tr>
      <w:tr w14:paraId="60739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6" w:type="pct"/>
            <w:vAlign w:val="center"/>
          </w:tcPr>
          <w:p w14:paraId="6A8144C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挖方</w:t>
            </w:r>
          </w:p>
        </w:tc>
        <w:tc>
          <w:tcPr>
            <w:tcW w:w="1277" w:type="pct"/>
            <w:vAlign w:val="center"/>
          </w:tcPr>
          <w:p w14:paraId="06601650">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0-30</w:t>
            </w:r>
          </w:p>
        </w:tc>
        <w:tc>
          <w:tcPr>
            <w:tcW w:w="907" w:type="pct"/>
            <w:vAlign w:val="center"/>
          </w:tcPr>
          <w:p w14:paraId="015AF40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10</w:t>
            </w:r>
          </w:p>
        </w:tc>
        <w:tc>
          <w:tcPr>
            <w:tcW w:w="1370" w:type="pct"/>
            <w:vAlign w:val="center"/>
          </w:tcPr>
          <w:p w14:paraId="49DB2BC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5</w:t>
            </w:r>
          </w:p>
        </w:tc>
        <w:tc>
          <w:tcPr>
            <w:tcW w:w="907" w:type="pct"/>
            <w:vAlign w:val="center"/>
          </w:tcPr>
          <w:p w14:paraId="6B1A1AC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eastAsia" w:ascii="楷体" w:hAnsi="楷体" w:eastAsia="楷体" w:cs="楷体"/>
                <w:sz w:val="24"/>
                <w:szCs w:val="24"/>
              </w:rPr>
            </w:pPr>
            <w:r>
              <w:rPr>
                <w:rFonts w:hint="eastAsia" w:ascii="楷体" w:hAnsi="楷体" w:eastAsia="楷体" w:cs="楷体"/>
                <w:sz w:val="24"/>
                <w:szCs w:val="24"/>
              </w:rPr>
              <w:t>≥95</w:t>
            </w:r>
          </w:p>
        </w:tc>
      </w:tr>
    </w:tbl>
    <w:p w14:paraId="73818917">
      <w:pPr>
        <w:pageBreakBefore w:val="0"/>
        <w:widowControl w:val="0"/>
        <w:kinsoku/>
        <w:wordWrap/>
        <w:overflowPunct/>
        <w:topLinePunct w:val="0"/>
        <w:bidi w:val="0"/>
        <w:adjustRightInd/>
        <w:snapToGrid/>
        <w:spacing w:after="0" w:line="240" w:lineRule="auto"/>
        <w:ind w:firstLine="354" w:firstLineChars="200"/>
        <w:textAlignment w:val="center"/>
        <w:rPr>
          <w:rFonts w:hint="eastAsia" w:ascii="楷体" w:hAnsi="楷体" w:eastAsia="楷体" w:cs="楷体"/>
          <w:b w:val="0"/>
          <w:bCs w:val="0"/>
          <w:color w:val="000000"/>
          <w:spacing w:val="-11"/>
          <w:w w:val="95"/>
          <w:sz w:val="21"/>
          <w:szCs w:val="21"/>
          <w:lang w:val="en-US" w:eastAsia="zh-CN" w:bidi="ar"/>
        </w:rPr>
      </w:pPr>
      <w:r>
        <w:rPr>
          <w:rFonts w:hint="eastAsia" w:ascii="楷体" w:hAnsi="楷体" w:eastAsia="楷体" w:cs="楷体"/>
          <w:b w:val="0"/>
          <w:bCs w:val="0"/>
          <w:color w:val="000000"/>
          <w:spacing w:val="-11"/>
          <w:w w:val="95"/>
          <w:sz w:val="21"/>
          <w:szCs w:val="21"/>
          <w:lang w:val="en-US" w:eastAsia="zh-CN" w:bidi="ar"/>
        </w:rPr>
        <w:t>注：因道路等级过低，车行道路基顶面回弹模量≥20Mpa。</w:t>
      </w:r>
    </w:p>
    <w:p w14:paraId="495CD385">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522" w:name="_Toc26093"/>
      <w:bookmarkStart w:id="523" w:name="_Toc28941"/>
      <w:r>
        <w:rPr>
          <w:rFonts w:hint="eastAsia" w:ascii="黑体" w:hAnsi="黑体" w:cs="Times New Roman"/>
          <w:bCs w:val="0"/>
          <w:kern w:val="0"/>
          <w:sz w:val="32"/>
          <w:szCs w:val="32"/>
          <w:lang w:val="en-US" w:eastAsia="zh-CN"/>
        </w:rPr>
        <w:t>5.7 施工注意事项</w:t>
      </w:r>
      <w:bookmarkEnd w:id="522"/>
      <w:bookmarkEnd w:id="523"/>
    </w:p>
    <w:p w14:paraId="728F3DD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（1）施工前必须调查清楚地下设施的种类、尺寸、位置和埋深，并请相关单位派员现场监护和指导施工。</w:t>
      </w:r>
    </w:p>
    <w:p w14:paraId="4BEA26F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（2）遇地下水较丰富的地段，施工阶段在道路两侧临时开辟排水沟，以保证路基处于干燥状态。遇特殊地质情况，及时通知建设单位和设计单位。</w:t>
      </w:r>
    </w:p>
    <w:p w14:paraId="504143D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（3）路基填方及路面结构施工应严格按照有关规范及验收指标进行，合格后才可进行下一道工序施工。</w:t>
      </w:r>
    </w:p>
    <w:p w14:paraId="1E3AA1B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（4）余土外运运距由建设单位、监理单位现场核实。弃土场由建设单位落实。弃土场的水土流失及环保措施由施工单位根据实际情况解决。</w:t>
      </w:r>
    </w:p>
    <w:p w14:paraId="4293213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（5）弃土、暂存土均不得妨碍各类地下管线等构筑物的正常使用与维护，且应避开建筑物、围墙、架空线等。严禁占压、损坏、掩埋各种检查井、消火栓等设施。</w:t>
      </w:r>
    </w:p>
    <w:p w14:paraId="039DFEB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（6）机械开挖时，必须避开构筑物、管线，在管道边1m范围内应采用人工开挖；在距直埋缆线2m范围内必须人工开挖。</w:t>
      </w:r>
    </w:p>
    <w:p w14:paraId="071A13E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Times New Roman" w:hAnsi="Times New Roman" w:eastAsia="仿宋_GB2312" w:cs="Times New Roman"/>
          <w:bCs/>
          <w:kern w:val="0"/>
          <w:sz w:val="28"/>
          <w:szCs w:val="28"/>
          <w:lang w:val="en-US" w:eastAsia="zh-CN"/>
        </w:rPr>
        <w:t>（7）未尽事宜按相关规范执行。</w:t>
      </w:r>
    </w:p>
    <w:p w14:paraId="4EAB3383">
      <w:pPr>
        <w:pStyle w:val="2"/>
        <w:pageBreakBefore w:val="0"/>
        <w:widowControl w:val="0"/>
        <w:kinsoku/>
        <w:wordWrap/>
        <w:overflowPunct/>
        <w:topLinePunct w:val="0"/>
        <w:bidi w:val="0"/>
        <w:snapToGrid/>
        <w:spacing w:before="326" w:beforeLines="100" w:after="326" w:afterLines="100" w:line="360" w:lineRule="auto"/>
        <w:ind w:right="0" w:rightChars="0" w:firstLine="0" w:firstLineChars="0"/>
        <w:jc w:val="center"/>
        <w:rPr>
          <w:rFonts w:hint="default" w:ascii="黑体" w:hAnsi="黑体" w:eastAsia="黑体" w:cs="Times New Roman"/>
          <w:b/>
          <w:bCs w:val="0"/>
          <w:sz w:val="36"/>
          <w:szCs w:val="36"/>
          <w:lang w:val="en-US" w:eastAsia="zh-CN"/>
        </w:rPr>
      </w:pPr>
      <w:bookmarkStart w:id="524" w:name="_Toc16996"/>
      <w:bookmarkStart w:id="525" w:name="_Toc26178"/>
      <w:r>
        <w:rPr>
          <w:rFonts w:hint="eastAsia" w:ascii="黑体" w:hAnsi="黑体" w:eastAsia="黑体" w:cs="Times New Roman"/>
          <w:b/>
          <w:bCs w:val="0"/>
          <w:sz w:val="36"/>
          <w:szCs w:val="36"/>
          <w:lang w:val="en-US" w:eastAsia="zh-CN"/>
        </w:rPr>
        <w:t>第</w:t>
      </w:r>
      <w:r>
        <w:rPr>
          <w:rFonts w:hint="eastAsia" w:cs="Times New Roman"/>
          <w:b/>
          <w:bCs w:val="0"/>
          <w:sz w:val="36"/>
          <w:szCs w:val="36"/>
          <w:lang w:val="en-US" w:eastAsia="zh-CN"/>
        </w:rPr>
        <w:t>六</w:t>
      </w:r>
      <w:r>
        <w:rPr>
          <w:rFonts w:hint="eastAsia" w:ascii="黑体" w:hAnsi="黑体" w:eastAsia="黑体" w:cs="Times New Roman"/>
          <w:b/>
          <w:bCs w:val="0"/>
          <w:sz w:val="36"/>
          <w:szCs w:val="36"/>
          <w:lang w:val="en-US" w:eastAsia="zh-CN"/>
        </w:rPr>
        <w:t xml:space="preserve">章 </w:t>
      </w:r>
      <w:r>
        <w:rPr>
          <w:rFonts w:hint="eastAsia" w:cs="Times New Roman"/>
          <w:b/>
          <w:bCs w:val="0"/>
          <w:sz w:val="36"/>
          <w:szCs w:val="36"/>
          <w:lang w:val="en-US" w:eastAsia="zh-CN"/>
        </w:rPr>
        <w:t>劳动安全和卫生</w:t>
      </w:r>
      <w:bookmarkEnd w:id="524"/>
      <w:bookmarkEnd w:id="525"/>
      <w:r>
        <w:rPr>
          <w:rFonts w:hint="eastAsia" w:cs="Times New Roman"/>
          <w:b/>
          <w:bCs w:val="0"/>
          <w:sz w:val="36"/>
          <w:szCs w:val="36"/>
          <w:lang w:val="en-US" w:eastAsia="zh-CN"/>
        </w:rPr>
        <w:t>方案</w:t>
      </w:r>
    </w:p>
    <w:p w14:paraId="25F9969F">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526" w:name="_Toc24137"/>
      <w:bookmarkStart w:id="527" w:name="_Toc28084"/>
      <w:r>
        <w:rPr>
          <w:rFonts w:hint="eastAsia" w:ascii="黑体" w:hAnsi="黑体" w:cs="Times New Roman"/>
          <w:bCs w:val="0"/>
          <w:kern w:val="0"/>
          <w:sz w:val="32"/>
          <w:szCs w:val="32"/>
          <w:lang w:val="en-US" w:eastAsia="zh-CN"/>
        </w:rPr>
        <w:t>6.1 设计依据</w:t>
      </w:r>
      <w:bookmarkEnd w:id="526"/>
      <w:bookmarkEnd w:id="527"/>
    </w:p>
    <w:p w14:paraId="700CC7ED">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w:t>
      </w:r>
      <w:r>
        <w:rPr>
          <w:rFonts w:hint="eastAsia" w:ascii="Times New Roman" w:hAnsi="Times New Roman" w:eastAsia="仿宋_GB2312" w:cs="Times New Roman"/>
          <w:bCs/>
          <w:sz w:val="28"/>
          <w:szCs w:val="28"/>
          <w:lang w:val="en-US" w:eastAsia="zh-CN"/>
        </w:rPr>
        <w:t>1</w:t>
      </w:r>
      <w:r>
        <w:rPr>
          <w:rFonts w:hint="eastAsia" w:ascii="Times New Roman" w:hAnsi="Times New Roman" w:eastAsia="仿宋_GB2312" w:cs="Times New Roman"/>
          <w:bCs/>
          <w:sz w:val="28"/>
          <w:szCs w:val="28"/>
          <w:lang w:eastAsia="zh-CN"/>
        </w:rPr>
        <w:t>）《中华人民共和国劳动法》（</w:t>
      </w:r>
      <w:r>
        <w:rPr>
          <w:rFonts w:hint="eastAsia" w:ascii="Times New Roman" w:hAnsi="Times New Roman" w:eastAsia="仿宋_GB2312" w:cs="Times New Roman"/>
          <w:bCs/>
          <w:sz w:val="28"/>
          <w:szCs w:val="28"/>
          <w:lang w:val="en-US" w:eastAsia="zh-CN"/>
        </w:rPr>
        <w:t>2009年</w:t>
      </w:r>
      <w:r>
        <w:rPr>
          <w:rFonts w:hint="eastAsia" w:ascii="Times New Roman" w:hAnsi="Times New Roman" w:eastAsia="仿宋_GB2312" w:cs="Times New Roman"/>
          <w:bCs/>
          <w:sz w:val="28"/>
          <w:szCs w:val="28"/>
          <w:lang w:eastAsia="zh-CN"/>
        </w:rPr>
        <w:t>）；</w:t>
      </w:r>
    </w:p>
    <w:p w14:paraId="502A916F">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w:t>
      </w:r>
      <w:r>
        <w:rPr>
          <w:rFonts w:hint="eastAsia" w:ascii="Times New Roman" w:hAnsi="Times New Roman" w:eastAsia="仿宋_GB2312" w:cs="Times New Roman"/>
          <w:bCs/>
          <w:sz w:val="28"/>
          <w:szCs w:val="28"/>
          <w:lang w:val="en-US" w:eastAsia="zh-CN"/>
        </w:rPr>
        <w:t>2</w:t>
      </w:r>
      <w:r>
        <w:rPr>
          <w:rFonts w:hint="eastAsia" w:ascii="Times New Roman" w:hAnsi="Times New Roman" w:eastAsia="仿宋_GB2312" w:cs="Times New Roman"/>
          <w:bCs/>
          <w:sz w:val="28"/>
          <w:szCs w:val="28"/>
          <w:lang w:eastAsia="zh-CN"/>
        </w:rPr>
        <w:t>）《建设项目（工程）劳动安全卫生监察规定》（1997年）；</w:t>
      </w:r>
    </w:p>
    <w:p w14:paraId="0A23BD5F">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val="en-US" w:eastAsia="zh-CN"/>
        </w:rPr>
      </w:pPr>
      <w:r>
        <w:rPr>
          <w:rFonts w:hint="eastAsia" w:ascii="Times New Roman" w:hAnsi="Times New Roman" w:eastAsia="仿宋_GB2312" w:cs="Times New Roman"/>
          <w:bCs/>
          <w:sz w:val="28"/>
          <w:szCs w:val="28"/>
          <w:lang w:eastAsia="zh-CN"/>
        </w:rPr>
        <w:t>（</w:t>
      </w:r>
      <w:r>
        <w:rPr>
          <w:rFonts w:hint="eastAsia" w:ascii="Times New Roman" w:hAnsi="Times New Roman" w:eastAsia="仿宋_GB2312" w:cs="Times New Roman"/>
          <w:bCs/>
          <w:sz w:val="28"/>
          <w:szCs w:val="28"/>
          <w:lang w:val="en-US" w:eastAsia="zh-CN"/>
        </w:rPr>
        <w:t>3</w:t>
      </w:r>
      <w:r>
        <w:rPr>
          <w:rFonts w:hint="eastAsia" w:ascii="Times New Roman" w:hAnsi="Times New Roman" w:eastAsia="仿宋_GB2312" w:cs="Times New Roman"/>
          <w:bCs/>
          <w:sz w:val="28"/>
          <w:szCs w:val="28"/>
          <w:lang w:eastAsia="zh-CN"/>
        </w:rPr>
        <w:t>）《</w:t>
      </w:r>
      <w:r>
        <w:rPr>
          <w:rFonts w:hint="eastAsia" w:ascii="Times New Roman" w:hAnsi="Times New Roman" w:eastAsia="仿宋_GB2312" w:cs="Times New Roman"/>
          <w:bCs/>
          <w:sz w:val="28"/>
          <w:szCs w:val="28"/>
          <w:lang w:val="en-US" w:eastAsia="zh-CN"/>
        </w:rPr>
        <w:t>林业安全卫生规范（1998年）》；</w:t>
      </w:r>
    </w:p>
    <w:p w14:paraId="6D7C15FC">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w:t>
      </w:r>
      <w:r>
        <w:rPr>
          <w:rFonts w:hint="eastAsia" w:ascii="Times New Roman" w:hAnsi="Times New Roman" w:eastAsia="仿宋_GB2312" w:cs="Times New Roman"/>
          <w:bCs/>
          <w:sz w:val="28"/>
          <w:szCs w:val="28"/>
          <w:lang w:val="en-US" w:eastAsia="zh-CN"/>
        </w:rPr>
        <w:t>4</w:t>
      </w:r>
      <w:r>
        <w:rPr>
          <w:rFonts w:hint="eastAsia" w:ascii="Times New Roman" w:hAnsi="Times New Roman" w:eastAsia="仿宋_GB2312" w:cs="Times New Roman"/>
          <w:bCs/>
          <w:sz w:val="28"/>
          <w:szCs w:val="28"/>
          <w:lang w:eastAsia="zh-CN"/>
        </w:rPr>
        <w:t>）《森林、草原、湿地野外调查监测安全手册（</w:t>
      </w:r>
      <w:r>
        <w:rPr>
          <w:rFonts w:hint="eastAsia" w:ascii="Times New Roman" w:hAnsi="Times New Roman" w:eastAsia="仿宋_GB2312" w:cs="Times New Roman"/>
          <w:bCs/>
          <w:sz w:val="28"/>
          <w:szCs w:val="28"/>
          <w:lang w:val="en-US" w:eastAsia="zh-CN"/>
        </w:rPr>
        <w:t>2022年</w:t>
      </w:r>
      <w:r>
        <w:rPr>
          <w:rFonts w:hint="eastAsia" w:ascii="Times New Roman" w:hAnsi="Times New Roman" w:eastAsia="仿宋_GB2312" w:cs="Times New Roman"/>
          <w:bCs/>
          <w:sz w:val="28"/>
          <w:szCs w:val="28"/>
          <w:lang w:eastAsia="zh-CN"/>
        </w:rPr>
        <w:t>）</w:t>
      </w:r>
      <w:r>
        <w:rPr>
          <w:rFonts w:hint="eastAsia" w:ascii="Times New Roman" w:hAnsi="Times New Roman" w:eastAsia="仿宋_GB2312" w:cs="Times New Roman"/>
          <w:bCs/>
          <w:sz w:val="28"/>
          <w:szCs w:val="28"/>
          <w:lang w:val="en-US" w:eastAsia="zh-CN"/>
        </w:rPr>
        <w:t>》</w:t>
      </w:r>
      <w:r>
        <w:rPr>
          <w:rFonts w:hint="eastAsia" w:ascii="Times New Roman" w:hAnsi="Times New Roman" w:eastAsia="仿宋_GB2312" w:cs="Times New Roman"/>
          <w:bCs/>
          <w:sz w:val="28"/>
          <w:szCs w:val="28"/>
          <w:lang w:eastAsia="zh-CN"/>
        </w:rPr>
        <w:t>；</w:t>
      </w:r>
    </w:p>
    <w:p w14:paraId="0E767B50">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w:t>
      </w:r>
      <w:r>
        <w:rPr>
          <w:rFonts w:hint="eastAsia" w:ascii="Times New Roman" w:hAnsi="Times New Roman" w:eastAsia="仿宋_GB2312" w:cs="Times New Roman"/>
          <w:bCs/>
          <w:sz w:val="28"/>
          <w:szCs w:val="28"/>
          <w:lang w:val="en-US" w:eastAsia="zh-CN"/>
        </w:rPr>
        <w:t>4</w:t>
      </w:r>
      <w:r>
        <w:rPr>
          <w:rFonts w:hint="eastAsia" w:ascii="Times New Roman" w:hAnsi="Times New Roman" w:eastAsia="仿宋_GB2312" w:cs="Times New Roman"/>
          <w:bCs/>
          <w:sz w:val="28"/>
          <w:szCs w:val="28"/>
          <w:lang w:eastAsia="zh-CN"/>
        </w:rPr>
        <w:t>）其</w:t>
      </w:r>
      <w:r>
        <w:rPr>
          <w:rFonts w:hint="eastAsia" w:ascii="Times New Roman" w:hAnsi="Times New Roman" w:eastAsia="仿宋_GB2312" w:cs="Times New Roman"/>
          <w:bCs/>
          <w:sz w:val="28"/>
          <w:szCs w:val="28"/>
          <w:lang w:val="en-US" w:eastAsia="zh-CN"/>
        </w:rPr>
        <w:t>他</w:t>
      </w:r>
      <w:r>
        <w:rPr>
          <w:rFonts w:hint="eastAsia" w:ascii="Times New Roman" w:hAnsi="Times New Roman" w:eastAsia="仿宋_GB2312" w:cs="Times New Roman"/>
          <w:bCs/>
          <w:sz w:val="28"/>
          <w:szCs w:val="28"/>
          <w:lang w:eastAsia="zh-CN"/>
        </w:rPr>
        <w:t>有关劳动安全与工业卫生方面的技术规定、规范。</w:t>
      </w:r>
    </w:p>
    <w:p w14:paraId="63C3B2B8">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528" w:name="_Toc16892"/>
      <w:bookmarkStart w:id="529" w:name="_Toc26825"/>
      <w:r>
        <w:rPr>
          <w:rFonts w:hint="eastAsia" w:ascii="黑体" w:hAnsi="黑体" w:cs="Times New Roman"/>
          <w:bCs w:val="0"/>
          <w:kern w:val="0"/>
          <w:sz w:val="32"/>
          <w:szCs w:val="32"/>
          <w:lang w:val="en-US" w:eastAsia="zh-CN"/>
        </w:rPr>
        <w:t>6.2 设计原则</w:t>
      </w:r>
      <w:bookmarkEnd w:id="528"/>
      <w:bookmarkEnd w:id="529"/>
    </w:p>
    <w:p w14:paraId="2DADD5AF">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严格</w:t>
      </w:r>
      <w:r>
        <w:rPr>
          <w:rFonts w:hint="eastAsia" w:ascii="Times New Roman" w:hAnsi="Times New Roman" w:eastAsia="仿宋_GB2312" w:cs="Times New Roman"/>
          <w:bCs/>
          <w:sz w:val="28"/>
          <w:szCs w:val="28"/>
          <w:lang w:eastAsia="zh-CN"/>
        </w:rPr>
        <w:t>贯彻“以人为本，安全第一，预防为主”的方针，保证作业人员的安全与健康，避免发生伤亡事故，保障</w:t>
      </w:r>
      <w:r>
        <w:rPr>
          <w:rFonts w:hint="eastAsia" w:ascii="Times New Roman" w:hAnsi="Times New Roman" w:eastAsia="仿宋_GB2312" w:cs="Times New Roman"/>
          <w:bCs/>
          <w:sz w:val="28"/>
          <w:szCs w:val="28"/>
          <w:lang w:val="en-US" w:eastAsia="zh-CN"/>
        </w:rPr>
        <w:t>营造林及配套</w:t>
      </w:r>
      <w:r>
        <w:rPr>
          <w:rFonts w:hint="eastAsia" w:ascii="Times New Roman" w:hAnsi="Times New Roman" w:eastAsia="仿宋_GB2312" w:cs="Times New Roman"/>
          <w:bCs/>
          <w:sz w:val="28"/>
          <w:szCs w:val="28"/>
          <w:lang w:eastAsia="zh-CN"/>
        </w:rPr>
        <w:t>工程的建设、管理、运行、检修人员在劳动过程中的安全和健康，参照《</w:t>
      </w:r>
      <w:r>
        <w:rPr>
          <w:rFonts w:hint="eastAsia" w:ascii="Times New Roman" w:hAnsi="Times New Roman" w:eastAsia="仿宋_GB2312" w:cs="Times New Roman"/>
          <w:bCs/>
          <w:sz w:val="28"/>
          <w:szCs w:val="28"/>
          <w:lang w:val="en-US" w:eastAsia="zh-CN"/>
        </w:rPr>
        <w:t>林业安全卫生规范（1998年）</w:t>
      </w:r>
      <w:r>
        <w:rPr>
          <w:rFonts w:hint="eastAsia" w:ascii="Times New Roman" w:hAnsi="Times New Roman" w:eastAsia="仿宋_GB2312" w:cs="Times New Roman"/>
          <w:bCs/>
          <w:sz w:val="28"/>
          <w:szCs w:val="28"/>
          <w:lang w:eastAsia="zh-CN"/>
        </w:rPr>
        <w:t>》</w:t>
      </w:r>
      <w:r>
        <w:rPr>
          <w:rFonts w:hint="eastAsia" w:ascii="Times New Roman" w:hAnsi="Times New Roman" w:eastAsia="仿宋_GB2312" w:cs="Times New Roman"/>
          <w:bCs/>
          <w:sz w:val="28"/>
          <w:szCs w:val="28"/>
          <w:lang w:val="en-US" w:eastAsia="zh-CN"/>
        </w:rPr>
        <w:t>等相关设计规范</w:t>
      </w:r>
      <w:r>
        <w:rPr>
          <w:rFonts w:hint="eastAsia" w:ascii="Times New Roman" w:hAnsi="Times New Roman" w:eastAsia="仿宋_GB2312" w:cs="Times New Roman"/>
          <w:bCs/>
          <w:sz w:val="28"/>
          <w:szCs w:val="28"/>
          <w:lang w:eastAsia="zh-CN"/>
        </w:rPr>
        <w:t>，结合本工程的具体情况，对机电设备安全、野外用火作业、仪器设备操作安全、职业疾病防护等提出安全防护措施。确定安全卫生管理责任机制，提出有关劳动安全管理措施，包括制度建设、宣传培训、应急方案等措施。</w:t>
      </w:r>
    </w:p>
    <w:p w14:paraId="19BDCD2B">
      <w:pPr>
        <w:pStyle w:val="3"/>
        <w:pageBreakBefore w:val="0"/>
        <w:widowControl w:val="0"/>
        <w:kinsoku/>
        <w:wordWrap/>
        <w:overflowPunct/>
        <w:topLinePunct w:val="0"/>
        <w:bidi w:val="0"/>
        <w:spacing w:before="326" w:beforeLines="100" w:after="326" w:afterLines="100" w:line="360" w:lineRule="auto"/>
        <w:ind w:firstLine="0" w:firstLineChars="0"/>
        <w:jc w:val="center"/>
        <w:rPr>
          <w:rFonts w:hint="eastAsia" w:ascii="黑体" w:hAnsi="黑体" w:eastAsia="黑体" w:cs="Times New Roman"/>
          <w:bCs w:val="0"/>
          <w:sz w:val="32"/>
          <w:szCs w:val="32"/>
          <w:lang w:eastAsia="zh-CN"/>
        </w:rPr>
      </w:pPr>
      <w:bookmarkStart w:id="530" w:name="_Toc17642"/>
      <w:bookmarkStart w:id="531" w:name="_Toc14712"/>
      <w:r>
        <w:rPr>
          <w:rFonts w:hint="eastAsia" w:ascii="黑体" w:hAnsi="黑体" w:cs="Times New Roman"/>
          <w:bCs w:val="0"/>
          <w:sz w:val="32"/>
          <w:szCs w:val="32"/>
          <w:lang w:eastAsia="zh-CN"/>
        </w:rPr>
        <w:t>6</w:t>
      </w:r>
      <w:r>
        <w:rPr>
          <w:rFonts w:hint="eastAsia" w:ascii="黑体" w:hAnsi="黑体" w:cs="Times New Roman"/>
          <w:bCs w:val="0"/>
          <w:sz w:val="32"/>
          <w:szCs w:val="32"/>
          <w:lang w:val="en-US" w:eastAsia="zh-CN"/>
        </w:rPr>
        <w:t xml:space="preserve">.3 </w:t>
      </w:r>
      <w:r>
        <w:rPr>
          <w:rFonts w:hint="eastAsia" w:ascii="黑体" w:hAnsi="黑体" w:eastAsia="黑体" w:cs="Times New Roman"/>
          <w:bCs w:val="0"/>
          <w:sz w:val="32"/>
          <w:szCs w:val="32"/>
          <w:lang w:eastAsia="zh-CN"/>
        </w:rPr>
        <w:t>劳动安全</w:t>
      </w:r>
      <w:bookmarkEnd w:id="530"/>
      <w:bookmarkEnd w:id="531"/>
    </w:p>
    <w:p w14:paraId="6F55D23E">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严格执行《中华人民共和国安全生产法》《建设项目（工程）劳动安全卫生监察规定》等有关劳动安全卫生的法规和规定，确保工程建设人员、职工和群众的劳动安全卫生。</w:t>
      </w:r>
    </w:p>
    <w:p w14:paraId="11E6460C">
      <w:pPr>
        <w:pStyle w:val="4"/>
        <w:pageBreakBefore w:val="0"/>
        <w:widowControl w:val="0"/>
        <w:kinsoku/>
        <w:wordWrap/>
        <w:overflowPunct/>
        <w:topLinePunct w:val="0"/>
        <w:bidi w:val="0"/>
        <w:spacing w:before="163" w:beforeLines="50" w:after="163" w:afterLines="50" w:line="360" w:lineRule="auto"/>
        <w:ind w:firstLine="602"/>
        <w:jc w:val="left"/>
        <w:rPr>
          <w:rFonts w:hint="eastAsia" w:ascii="楷体_GB2312" w:hAnsi="宋体" w:eastAsia="楷体_GB2312" w:cs="宋体"/>
          <w:bCs/>
          <w:sz w:val="30"/>
          <w:szCs w:val="30"/>
          <w:lang w:eastAsia="zh-CN"/>
        </w:rPr>
      </w:pPr>
      <w:r>
        <w:rPr>
          <w:rFonts w:hint="eastAsia" w:ascii="楷体_GB2312" w:hAnsi="宋体" w:eastAsia="楷体_GB2312" w:cs="宋体"/>
          <w:bCs/>
          <w:sz w:val="30"/>
          <w:szCs w:val="30"/>
          <w:lang w:val="en-US" w:eastAsia="zh-CN"/>
        </w:rPr>
        <w:t>6.3.1</w:t>
      </w:r>
      <w:r>
        <w:rPr>
          <w:rFonts w:hint="eastAsia" w:ascii="楷体_GB2312" w:hAnsi="宋体" w:eastAsia="楷体_GB2312" w:cs="宋体"/>
          <w:bCs/>
          <w:sz w:val="30"/>
          <w:szCs w:val="30"/>
          <w:lang w:eastAsia="zh-CN"/>
        </w:rPr>
        <w:t>安全管理</w:t>
      </w:r>
    </w:p>
    <w:p w14:paraId="7833725C">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w:t>
      </w:r>
      <w:r>
        <w:rPr>
          <w:rFonts w:hint="eastAsia" w:ascii="Times New Roman" w:hAnsi="Times New Roman" w:eastAsia="仿宋_GB2312" w:cs="Times New Roman"/>
          <w:bCs/>
          <w:sz w:val="28"/>
          <w:szCs w:val="28"/>
          <w:lang w:val="en-US" w:eastAsia="zh-CN"/>
        </w:rPr>
        <w:t>1</w:t>
      </w:r>
      <w:r>
        <w:rPr>
          <w:rFonts w:hint="eastAsia" w:ascii="Times New Roman" w:hAnsi="Times New Roman" w:eastAsia="仿宋_GB2312" w:cs="Times New Roman"/>
          <w:bCs/>
          <w:sz w:val="28"/>
          <w:szCs w:val="28"/>
          <w:lang w:eastAsia="zh-CN"/>
        </w:rPr>
        <w:t>）主管部门和</w:t>
      </w:r>
      <w:r>
        <w:rPr>
          <w:rFonts w:hint="eastAsia" w:ascii="Times New Roman" w:hAnsi="Times New Roman" w:eastAsia="仿宋_GB2312" w:cs="Times New Roman"/>
          <w:bCs/>
          <w:sz w:val="28"/>
          <w:szCs w:val="28"/>
          <w:lang w:val="en-US" w:eastAsia="zh-CN"/>
        </w:rPr>
        <w:t>建设单位</w:t>
      </w:r>
      <w:r>
        <w:rPr>
          <w:rFonts w:hint="eastAsia" w:ascii="Times New Roman" w:hAnsi="Times New Roman" w:eastAsia="仿宋_GB2312" w:cs="Times New Roman"/>
          <w:bCs/>
          <w:sz w:val="28"/>
          <w:szCs w:val="28"/>
          <w:lang w:eastAsia="zh-CN"/>
        </w:rPr>
        <w:t>应建立相应的安全管理、监督、检查机构，明确相应的工作职责，制定严格的安全生产管理制度，对安全生产和劳动安全实施有效的管理、监督和检查。</w:t>
      </w:r>
    </w:p>
    <w:p w14:paraId="4DE5AF41">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w:t>
      </w:r>
      <w:r>
        <w:rPr>
          <w:rFonts w:hint="eastAsia" w:ascii="Times New Roman" w:hAnsi="Times New Roman" w:eastAsia="仿宋_GB2312" w:cs="Times New Roman"/>
          <w:bCs/>
          <w:sz w:val="28"/>
          <w:szCs w:val="28"/>
          <w:lang w:val="en-US" w:eastAsia="zh-CN"/>
        </w:rPr>
        <w:t>2</w:t>
      </w:r>
      <w:r>
        <w:rPr>
          <w:rFonts w:hint="eastAsia" w:ascii="Times New Roman" w:hAnsi="Times New Roman" w:eastAsia="仿宋_GB2312" w:cs="Times New Roman"/>
          <w:bCs/>
          <w:sz w:val="28"/>
          <w:szCs w:val="28"/>
          <w:lang w:eastAsia="zh-CN"/>
        </w:rPr>
        <w:t>）</w:t>
      </w:r>
      <w:r>
        <w:rPr>
          <w:rFonts w:hint="eastAsia" w:ascii="Times New Roman" w:hAnsi="Times New Roman" w:eastAsia="仿宋_GB2312" w:cs="Times New Roman"/>
          <w:bCs/>
          <w:sz w:val="28"/>
          <w:szCs w:val="28"/>
          <w:lang w:val="en-US" w:eastAsia="zh-CN"/>
        </w:rPr>
        <w:t>建设主体</w:t>
      </w:r>
      <w:r>
        <w:rPr>
          <w:rFonts w:hint="eastAsia" w:ascii="Times New Roman" w:hAnsi="Times New Roman" w:eastAsia="仿宋_GB2312" w:cs="Times New Roman"/>
          <w:bCs/>
          <w:sz w:val="28"/>
          <w:szCs w:val="28"/>
          <w:lang w:eastAsia="zh-CN"/>
        </w:rPr>
        <w:t>应组织编写和不断完善</w:t>
      </w:r>
      <w:r>
        <w:rPr>
          <w:rFonts w:hint="eastAsia" w:ascii="Times New Roman" w:hAnsi="Times New Roman" w:eastAsia="仿宋_GB2312" w:cs="Times New Roman"/>
          <w:bCs/>
          <w:sz w:val="28"/>
          <w:szCs w:val="28"/>
          <w:lang w:val="en-US" w:eastAsia="zh-CN"/>
        </w:rPr>
        <w:t>野外调查、修建作业道路、铺设管道</w:t>
      </w:r>
      <w:r>
        <w:rPr>
          <w:rFonts w:hint="eastAsia" w:ascii="Times New Roman" w:hAnsi="Times New Roman" w:eastAsia="仿宋_GB2312" w:cs="Times New Roman"/>
          <w:bCs/>
          <w:sz w:val="28"/>
          <w:szCs w:val="28"/>
          <w:lang w:eastAsia="zh-CN"/>
        </w:rPr>
        <w:t>、伐木、打枝、造材、集材、装车、归楞、</w:t>
      </w:r>
      <w:r>
        <w:rPr>
          <w:rFonts w:hint="eastAsia" w:ascii="Times New Roman" w:hAnsi="Times New Roman" w:eastAsia="仿宋_GB2312" w:cs="Times New Roman"/>
          <w:bCs/>
          <w:sz w:val="28"/>
          <w:szCs w:val="28"/>
          <w:lang w:val="en-US" w:eastAsia="zh-CN"/>
        </w:rPr>
        <w:t>林地清理、造林整地</w:t>
      </w:r>
      <w:r>
        <w:rPr>
          <w:rFonts w:hint="eastAsia" w:ascii="Times New Roman" w:hAnsi="Times New Roman" w:eastAsia="仿宋_GB2312" w:cs="Times New Roman"/>
          <w:bCs/>
          <w:sz w:val="28"/>
          <w:szCs w:val="28"/>
          <w:lang w:eastAsia="zh-CN"/>
        </w:rPr>
        <w:t>、</w:t>
      </w:r>
      <w:r>
        <w:rPr>
          <w:rFonts w:hint="eastAsia" w:ascii="Times New Roman" w:hAnsi="Times New Roman" w:eastAsia="仿宋_GB2312" w:cs="Times New Roman"/>
          <w:bCs/>
          <w:sz w:val="28"/>
          <w:szCs w:val="28"/>
          <w:lang w:val="en-US" w:eastAsia="zh-CN"/>
        </w:rPr>
        <w:t>物资搬运</w:t>
      </w:r>
      <w:r>
        <w:rPr>
          <w:rFonts w:hint="eastAsia" w:ascii="Times New Roman" w:hAnsi="Times New Roman" w:eastAsia="仿宋_GB2312" w:cs="Times New Roman"/>
          <w:bCs/>
          <w:sz w:val="28"/>
          <w:szCs w:val="28"/>
          <w:lang w:eastAsia="zh-CN"/>
        </w:rPr>
        <w:t>、机械设备操作和运输等相关的安全技术操作规程。</w:t>
      </w:r>
    </w:p>
    <w:p w14:paraId="6CE910FB">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w:t>
      </w:r>
      <w:r>
        <w:rPr>
          <w:rFonts w:hint="eastAsia" w:ascii="Times New Roman" w:hAnsi="Times New Roman" w:eastAsia="仿宋_GB2312" w:cs="Times New Roman"/>
          <w:bCs/>
          <w:sz w:val="28"/>
          <w:szCs w:val="28"/>
          <w:lang w:val="en-US" w:eastAsia="zh-CN"/>
        </w:rPr>
        <w:t>3</w:t>
      </w:r>
      <w:r>
        <w:rPr>
          <w:rFonts w:hint="eastAsia" w:ascii="Times New Roman" w:hAnsi="Times New Roman" w:eastAsia="仿宋_GB2312" w:cs="Times New Roman"/>
          <w:bCs/>
          <w:sz w:val="28"/>
          <w:szCs w:val="28"/>
          <w:lang w:eastAsia="zh-CN"/>
        </w:rPr>
        <w:t>）当劳动保护设施不完备、机械设备有隐患、作业场地不安全、作业环境不适宜时，主管部门或生产单位应及时采取相应的措施，在不能保证作业人员安全与健康。的情况下，作业人员有权拒绝正在从事的工作。</w:t>
      </w:r>
    </w:p>
    <w:p w14:paraId="39979F8B">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w:t>
      </w:r>
      <w:r>
        <w:rPr>
          <w:rFonts w:hint="eastAsia" w:ascii="Times New Roman" w:hAnsi="Times New Roman" w:eastAsia="仿宋_GB2312" w:cs="Times New Roman"/>
          <w:bCs/>
          <w:sz w:val="28"/>
          <w:szCs w:val="28"/>
          <w:lang w:val="en-US" w:eastAsia="zh-CN"/>
        </w:rPr>
        <w:t>4</w:t>
      </w:r>
      <w:r>
        <w:rPr>
          <w:rFonts w:hint="eastAsia" w:ascii="Times New Roman" w:hAnsi="Times New Roman" w:eastAsia="仿宋_GB2312" w:cs="Times New Roman"/>
          <w:bCs/>
          <w:sz w:val="28"/>
          <w:szCs w:val="28"/>
          <w:lang w:eastAsia="zh-CN"/>
        </w:rPr>
        <w:t>）</w:t>
      </w:r>
      <w:r>
        <w:rPr>
          <w:rFonts w:hint="eastAsia" w:ascii="Times New Roman" w:hAnsi="Times New Roman" w:eastAsia="仿宋_GB2312" w:cs="Times New Roman"/>
          <w:bCs/>
          <w:sz w:val="28"/>
          <w:szCs w:val="28"/>
          <w:lang w:val="en-US" w:eastAsia="zh-CN"/>
        </w:rPr>
        <w:t>建设主体</w:t>
      </w:r>
      <w:r>
        <w:rPr>
          <w:rFonts w:hint="eastAsia" w:ascii="Times New Roman" w:hAnsi="Times New Roman" w:eastAsia="仿宋_GB2312" w:cs="Times New Roman"/>
          <w:bCs/>
          <w:sz w:val="28"/>
          <w:szCs w:val="28"/>
          <w:lang w:eastAsia="zh-CN"/>
        </w:rPr>
        <w:t>应经常组织开展有关安全生产和劳动安全的教育，增强作业人员的安全意识。</w:t>
      </w:r>
    </w:p>
    <w:p w14:paraId="13B3C69E">
      <w:pPr>
        <w:pStyle w:val="4"/>
        <w:pageBreakBefore w:val="0"/>
        <w:widowControl w:val="0"/>
        <w:kinsoku/>
        <w:wordWrap/>
        <w:overflowPunct/>
        <w:topLinePunct w:val="0"/>
        <w:bidi w:val="0"/>
        <w:spacing w:before="163" w:beforeLines="50" w:after="163" w:afterLines="50" w:line="360" w:lineRule="auto"/>
        <w:ind w:firstLine="602"/>
        <w:jc w:val="left"/>
        <w:rPr>
          <w:rFonts w:hint="eastAsia" w:ascii="楷体_GB2312" w:hAnsi="宋体" w:eastAsia="楷体_GB2312" w:cs="宋体"/>
          <w:bCs/>
          <w:sz w:val="30"/>
          <w:szCs w:val="30"/>
          <w:lang w:eastAsia="zh-CN"/>
        </w:rPr>
      </w:pPr>
      <w:r>
        <w:rPr>
          <w:rFonts w:hint="eastAsia" w:ascii="楷体_GB2312" w:hAnsi="宋体" w:eastAsia="楷体_GB2312" w:cs="宋体"/>
          <w:bCs/>
          <w:sz w:val="30"/>
          <w:szCs w:val="30"/>
          <w:lang w:val="en-US" w:eastAsia="zh-CN"/>
        </w:rPr>
        <w:t>6.3.2</w:t>
      </w:r>
      <w:r>
        <w:rPr>
          <w:rFonts w:hint="eastAsia" w:ascii="楷体_GB2312" w:hAnsi="宋体" w:eastAsia="楷体_GB2312" w:cs="宋体"/>
          <w:bCs/>
          <w:sz w:val="30"/>
          <w:szCs w:val="30"/>
          <w:lang w:eastAsia="zh-CN"/>
        </w:rPr>
        <w:t>劳动保护</w:t>
      </w:r>
    </w:p>
    <w:p w14:paraId="11730923">
      <w:pPr>
        <w:pageBreakBefore w:val="0"/>
        <w:widowControl w:val="0"/>
        <w:kinsoku/>
        <w:wordWrap/>
        <w:overflowPunct/>
        <w:topLinePunct w:val="0"/>
        <w:bidi w:val="0"/>
        <w:spacing w:after="0" w:line="360" w:lineRule="auto"/>
        <w:ind w:firstLine="562" w:firstLineChars="200"/>
        <w:rPr>
          <w:rFonts w:hint="default" w:ascii="Times New Roman" w:hAnsi="Times New Roman" w:eastAsia="仿宋_GB2312" w:cs="Times New Roman"/>
          <w:b/>
          <w:bCs w:val="0"/>
          <w:sz w:val="28"/>
          <w:szCs w:val="28"/>
          <w:lang w:val="en-US" w:eastAsia="zh-CN"/>
        </w:rPr>
      </w:pPr>
      <w:r>
        <w:rPr>
          <w:rFonts w:hint="eastAsia" w:ascii="Times New Roman" w:hAnsi="Times New Roman" w:eastAsia="仿宋_GB2312" w:cs="Times New Roman"/>
          <w:b/>
          <w:bCs w:val="0"/>
          <w:sz w:val="28"/>
          <w:szCs w:val="28"/>
          <w:lang w:eastAsia="zh-CN"/>
        </w:rPr>
        <w:t>（</w:t>
      </w:r>
      <w:r>
        <w:rPr>
          <w:rFonts w:hint="eastAsia" w:ascii="Times New Roman" w:hAnsi="Times New Roman" w:eastAsia="仿宋_GB2312" w:cs="Times New Roman"/>
          <w:b/>
          <w:bCs w:val="0"/>
          <w:sz w:val="28"/>
          <w:szCs w:val="28"/>
          <w:lang w:val="en-US" w:eastAsia="zh-CN"/>
        </w:rPr>
        <w:t>1</w:t>
      </w:r>
      <w:r>
        <w:rPr>
          <w:rFonts w:hint="eastAsia" w:ascii="Times New Roman" w:hAnsi="Times New Roman" w:eastAsia="仿宋_GB2312" w:cs="Times New Roman"/>
          <w:b/>
          <w:bCs w:val="0"/>
          <w:sz w:val="28"/>
          <w:szCs w:val="28"/>
          <w:lang w:eastAsia="zh-CN"/>
        </w:rPr>
        <w:t>）</w:t>
      </w:r>
      <w:r>
        <w:rPr>
          <w:rFonts w:hint="eastAsia" w:ascii="Times New Roman" w:hAnsi="Times New Roman" w:eastAsia="仿宋_GB2312" w:cs="Times New Roman"/>
          <w:b/>
          <w:bCs w:val="0"/>
          <w:sz w:val="28"/>
          <w:szCs w:val="28"/>
          <w:lang w:val="en-US" w:eastAsia="zh-CN"/>
        </w:rPr>
        <w:t>劳动环境</w:t>
      </w:r>
    </w:p>
    <w:p w14:paraId="752BCA23">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建设施工单位</w:t>
      </w:r>
      <w:r>
        <w:rPr>
          <w:rFonts w:hint="eastAsia" w:ascii="Times New Roman" w:hAnsi="Times New Roman" w:eastAsia="仿宋_GB2312" w:cs="Times New Roman"/>
          <w:bCs/>
          <w:sz w:val="28"/>
          <w:szCs w:val="28"/>
          <w:lang w:eastAsia="zh-CN"/>
        </w:rPr>
        <w:t>应为作业人员提供安全、健康的工作环境，不应超时作业。为</w:t>
      </w:r>
      <w:r>
        <w:rPr>
          <w:rFonts w:hint="eastAsia" w:ascii="Times New Roman" w:hAnsi="Times New Roman" w:eastAsia="仿宋_GB2312" w:cs="Times New Roman"/>
          <w:bCs/>
          <w:sz w:val="28"/>
          <w:szCs w:val="28"/>
          <w:lang w:val="en-US" w:eastAsia="zh-CN"/>
        </w:rPr>
        <w:t>劳动</w:t>
      </w:r>
      <w:r>
        <w:rPr>
          <w:rFonts w:hint="eastAsia" w:ascii="Times New Roman" w:hAnsi="Times New Roman" w:eastAsia="仿宋_GB2312" w:cs="Times New Roman"/>
          <w:bCs/>
          <w:sz w:val="28"/>
          <w:szCs w:val="28"/>
          <w:lang w:eastAsia="zh-CN"/>
        </w:rPr>
        <w:t>作业人员提供足够的、符合饮用标准的生活用水。按《安全标志及其使用导则》（GB12894-2008）设置安全标志，标志分为禁止、警告、指令、提示四种类型。</w:t>
      </w:r>
    </w:p>
    <w:p w14:paraId="242D66DA">
      <w:pPr>
        <w:pageBreakBefore w:val="0"/>
        <w:widowControl w:val="0"/>
        <w:kinsoku/>
        <w:wordWrap/>
        <w:overflowPunct/>
        <w:topLinePunct w:val="0"/>
        <w:bidi w:val="0"/>
        <w:spacing w:after="0" w:line="360" w:lineRule="auto"/>
        <w:ind w:firstLine="562" w:firstLineChars="200"/>
        <w:rPr>
          <w:rFonts w:hint="eastAsia" w:ascii="Times New Roman" w:hAnsi="Times New Roman" w:eastAsia="仿宋_GB2312" w:cs="Times New Roman"/>
          <w:b/>
          <w:bCs w:val="0"/>
          <w:sz w:val="28"/>
          <w:szCs w:val="28"/>
          <w:lang w:val="en-US" w:eastAsia="zh-CN"/>
        </w:rPr>
      </w:pPr>
      <w:r>
        <w:rPr>
          <w:rFonts w:hint="eastAsia" w:ascii="Times New Roman" w:hAnsi="Times New Roman" w:eastAsia="仿宋_GB2312" w:cs="Times New Roman"/>
          <w:b/>
          <w:bCs w:val="0"/>
          <w:sz w:val="28"/>
          <w:szCs w:val="28"/>
          <w:lang w:eastAsia="zh-CN"/>
        </w:rPr>
        <w:t>（</w:t>
      </w:r>
      <w:r>
        <w:rPr>
          <w:rFonts w:hint="eastAsia" w:ascii="Times New Roman" w:hAnsi="Times New Roman" w:eastAsia="仿宋_GB2312" w:cs="Times New Roman"/>
          <w:b/>
          <w:bCs w:val="0"/>
          <w:sz w:val="28"/>
          <w:szCs w:val="28"/>
          <w:lang w:val="en-US" w:eastAsia="zh-CN"/>
        </w:rPr>
        <w:t>2</w:t>
      </w:r>
      <w:r>
        <w:rPr>
          <w:rFonts w:hint="eastAsia" w:ascii="Times New Roman" w:hAnsi="Times New Roman" w:eastAsia="仿宋_GB2312" w:cs="Times New Roman"/>
          <w:b/>
          <w:bCs w:val="0"/>
          <w:sz w:val="28"/>
          <w:szCs w:val="28"/>
          <w:lang w:eastAsia="zh-CN"/>
        </w:rPr>
        <w:t>）</w:t>
      </w:r>
      <w:r>
        <w:rPr>
          <w:rFonts w:hint="eastAsia" w:ascii="Times New Roman" w:hAnsi="Times New Roman" w:eastAsia="仿宋_GB2312" w:cs="Times New Roman"/>
          <w:b/>
          <w:bCs w:val="0"/>
          <w:sz w:val="28"/>
          <w:szCs w:val="28"/>
          <w:lang w:val="en-US" w:eastAsia="zh-CN"/>
        </w:rPr>
        <w:t>宣传教育</w:t>
      </w:r>
    </w:p>
    <w:p w14:paraId="5737C46E">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宣传教育是增强员工安全意识和卫生意识的重要途径。首先，应加强对安全知识的培训，包括安全操作规程、应急救援知识等。通过定期的培训和考核，确保员工熟悉并掌握相关知识；其次，可以采取标语、标志牌、警示牌、</w:t>
      </w:r>
      <w:r>
        <w:rPr>
          <w:rFonts w:hint="eastAsia" w:ascii="Times New Roman" w:hAnsi="Times New Roman" w:eastAsia="仿宋_GB2312" w:cs="Times New Roman"/>
          <w:bCs/>
          <w:sz w:val="28"/>
          <w:szCs w:val="28"/>
          <w:lang w:val="en-US" w:eastAsia="zh-CN"/>
        </w:rPr>
        <w:t>短视频</w:t>
      </w:r>
      <w:r>
        <w:rPr>
          <w:rFonts w:hint="eastAsia" w:ascii="Times New Roman" w:hAnsi="Times New Roman" w:eastAsia="仿宋_GB2312" w:cs="Times New Roman"/>
          <w:bCs/>
          <w:sz w:val="28"/>
          <w:szCs w:val="28"/>
          <w:lang w:eastAsia="zh-CN"/>
        </w:rPr>
        <w:t>等形式进行安全生产意识的宣传；另外，组织开展安全文化建设活动，如开展安全知识竞赛、表彰先进等，增强员工的安全意识和责任感。对于林业生产单位其独特的行业特点，制定相应的安全规章制度。分门别类，制定各种工种的安全生产操作技术规程，各种类型的应急救援预案，如营</w:t>
      </w:r>
      <w:r>
        <w:rPr>
          <w:rFonts w:hint="eastAsia" w:ascii="Times New Roman" w:hAnsi="Times New Roman" w:eastAsia="仿宋_GB2312" w:cs="Times New Roman"/>
          <w:bCs/>
          <w:sz w:val="28"/>
          <w:szCs w:val="28"/>
          <w:lang w:val="en-US" w:eastAsia="zh-CN"/>
        </w:rPr>
        <w:t>造</w:t>
      </w:r>
      <w:r>
        <w:rPr>
          <w:rFonts w:hint="eastAsia" w:ascii="Times New Roman" w:hAnsi="Times New Roman" w:eastAsia="仿宋_GB2312" w:cs="Times New Roman"/>
          <w:bCs/>
          <w:sz w:val="28"/>
          <w:szCs w:val="28"/>
          <w:lang w:eastAsia="zh-CN"/>
        </w:rPr>
        <w:t>林、采伐、</w:t>
      </w:r>
      <w:r>
        <w:rPr>
          <w:rFonts w:hint="eastAsia" w:ascii="Times New Roman" w:hAnsi="Times New Roman" w:eastAsia="仿宋_GB2312" w:cs="Times New Roman"/>
          <w:bCs/>
          <w:sz w:val="28"/>
          <w:szCs w:val="28"/>
          <w:lang w:val="en-US" w:eastAsia="zh-CN"/>
        </w:rPr>
        <w:t>作业道路等</w:t>
      </w:r>
      <w:r>
        <w:rPr>
          <w:rFonts w:hint="eastAsia" w:ascii="Times New Roman" w:hAnsi="Times New Roman" w:eastAsia="仿宋_GB2312" w:cs="Times New Roman"/>
          <w:bCs/>
          <w:sz w:val="28"/>
          <w:szCs w:val="28"/>
          <w:lang w:eastAsia="zh-CN"/>
        </w:rPr>
        <w:t>，要制订</w:t>
      </w:r>
      <w:r>
        <w:rPr>
          <w:rFonts w:hint="eastAsia" w:ascii="Times New Roman" w:hAnsi="Times New Roman" w:eastAsia="仿宋_GB2312" w:cs="Times New Roman"/>
          <w:bCs/>
          <w:sz w:val="28"/>
          <w:szCs w:val="28"/>
          <w:lang w:val="en-US" w:eastAsia="zh-CN"/>
        </w:rPr>
        <w:t>安全</w:t>
      </w:r>
      <w:r>
        <w:rPr>
          <w:rFonts w:hint="eastAsia" w:ascii="Times New Roman" w:hAnsi="Times New Roman" w:eastAsia="仿宋_GB2312" w:cs="Times New Roman"/>
          <w:bCs/>
          <w:sz w:val="28"/>
          <w:szCs w:val="28"/>
          <w:lang w:eastAsia="zh-CN"/>
        </w:rPr>
        <w:t>责任状，层层签订。</w:t>
      </w:r>
    </w:p>
    <w:p w14:paraId="06A041D6">
      <w:pPr>
        <w:pageBreakBefore w:val="0"/>
        <w:widowControl w:val="0"/>
        <w:kinsoku/>
        <w:wordWrap/>
        <w:overflowPunct/>
        <w:topLinePunct w:val="0"/>
        <w:bidi w:val="0"/>
        <w:spacing w:after="0" w:line="360" w:lineRule="auto"/>
        <w:ind w:firstLine="562" w:firstLineChars="200"/>
        <w:rPr>
          <w:rFonts w:hint="default" w:ascii="Times New Roman" w:hAnsi="Times New Roman" w:eastAsia="仿宋_GB2312" w:cs="Times New Roman"/>
          <w:b/>
          <w:bCs w:val="0"/>
          <w:sz w:val="28"/>
          <w:szCs w:val="28"/>
          <w:lang w:val="en-US" w:eastAsia="zh-CN"/>
        </w:rPr>
      </w:pPr>
      <w:r>
        <w:rPr>
          <w:rFonts w:hint="eastAsia" w:ascii="Times New Roman" w:hAnsi="Times New Roman" w:eastAsia="仿宋_GB2312" w:cs="Times New Roman"/>
          <w:b/>
          <w:bCs w:val="0"/>
          <w:sz w:val="28"/>
          <w:szCs w:val="28"/>
          <w:lang w:eastAsia="zh-CN"/>
        </w:rPr>
        <w:t>（</w:t>
      </w:r>
      <w:r>
        <w:rPr>
          <w:rFonts w:hint="eastAsia" w:ascii="Times New Roman" w:hAnsi="Times New Roman" w:eastAsia="仿宋_GB2312" w:cs="Times New Roman"/>
          <w:b/>
          <w:bCs w:val="0"/>
          <w:sz w:val="28"/>
          <w:szCs w:val="28"/>
          <w:lang w:val="en-US" w:eastAsia="zh-CN"/>
        </w:rPr>
        <w:t>3</w:t>
      </w:r>
      <w:r>
        <w:rPr>
          <w:rFonts w:hint="eastAsia" w:ascii="Times New Roman" w:hAnsi="Times New Roman" w:eastAsia="仿宋_GB2312" w:cs="Times New Roman"/>
          <w:b/>
          <w:bCs w:val="0"/>
          <w:sz w:val="28"/>
          <w:szCs w:val="28"/>
          <w:lang w:eastAsia="zh-CN"/>
        </w:rPr>
        <w:t>）</w:t>
      </w:r>
      <w:r>
        <w:rPr>
          <w:rFonts w:hint="eastAsia" w:ascii="Times New Roman" w:hAnsi="Times New Roman" w:eastAsia="仿宋_GB2312" w:cs="Times New Roman"/>
          <w:b/>
          <w:bCs w:val="0"/>
          <w:sz w:val="28"/>
          <w:szCs w:val="28"/>
          <w:lang w:val="en-US" w:eastAsia="zh-CN"/>
        </w:rPr>
        <w:t>劳动保护装备</w:t>
      </w:r>
    </w:p>
    <w:p w14:paraId="503E0ADD">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用工单位</w:t>
      </w:r>
      <w:r>
        <w:rPr>
          <w:rFonts w:hint="eastAsia" w:ascii="Times New Roman" w:hAnsi="Times New Roman" w:eastAsia="仿宋_GB2312" w:cs="Times New Roman"/>
          <w:bCs/>
          <w:sz w:val="28"/>
          <w:szCs w:val="28"/>
          <w:lang w:eastAsia="zh-CN"/>
        </w:rPr>
        <w:t>应为作业人员配备符合国际或国家标准的安全设备和劳动保护用品：</w:t>
      </w:r>
    </w:p>
    <w:p w14:paraId="7D0BD62C">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1）</w:t>
      </w:r>
      <w:r>
        <w:rPr>
          <w:rFonts w:hint="eastAsia" w:ascii="Times New Roman" w:hAnsi="Times New Roman" w:eastAsia="仿宋_GB2312" w:cs="Times New Roman"/>
          <w:bCs/>
          <w:sz w:val="28"/>
          <w:szCs w:val="28"/>
          <w:lang w:eastAsia="zh-CN"/>
        </w:rPr>
        <w:t>具有不同作用的服装。服装的质地、面料和设计应充分考虑行业、工种的特性，</w:t>
      </w:r>
      <w:r>
        <w:rPr>
          <w:rFonts w:hint="eastAsia" w:ascii="Times New Roman" w:hAnsi="Times New Roman" w:eastAsia="仿宋_GB2312" w:cs="Times New Roman"/>
          <w:bCs/>
          <w:sz w:val="28"/>
          <w:szCs w:val="28"/>
          <w:lang w:val="en-US" w:eastAsia="zh-CN"/>
        </w:rPr>
        <w:t>劳动</w:t>
      </w:r>
      <w:r>
        <w:rPr>
          <w:rFonts w:hint="eastAsia" w:ascii="Times New Roman" w:hAnsi="Times New Roman" w:eastAsia="仿宋_GB2312" w:cs="Times New Roman"/>
          <w:bCs/>
          <w:sz w:val="28"/>
          <w:szCs w:val="28"/>
          <w:lang w:eastAsia="zh-CN"/>
        </w:rPr>
        <w:t>作业人员配备的服装颜色应与森林环境有较高的对比度；机械操作人员应配备紧身式的服装；接触有毒、有害物品或进入有传染病区的作业人员，应配备不透气、不渗水、抗腐蚀的紧口服装；</w:t>
      </w:r>
    </w:p>
    <w:p w14:paraId="619EB7DF">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2）</w:t>
      </w:r>
      <w:r>
        <w:rPr>
          <w:rFonts w:hint="eastAsia" w:ascii="Times New Roman" w:hAnsi="Times New Roman" w:eastAsia="仿宋_GB2312" w:cs="Times New Roman"/>
          <w:bCs/>
          <w:sz w:val="28"/>
          <w:szCs w:val="28"/>
          <w:lang w:eastAsia="zh-CN"/>
        </w:rPr>
        <w:t>具有安全作用的头盔、鞋、靴、护腿等；</w:t>
      </w:r>
    </w:p>
    <w:p w14:paraId="28910CF8">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3）</w:t>
      </w:r>
      <w:r>
        <w:rPr>
          <w:rFonts w:hint="eastAsia" w:ascii="Times New Roman" w:hAnsi="Times New Roman" w:eastAsia="仿宋_GB2312" w:cs="Times New Roman"/>
          <w:bCs/>
          <w:sz w:val="28"/>
          <w:szCs w:val="28"/>
          <w:lang w:eastAsia="zh-CN"/>
        </w:rPr>
        <w:t>配备消除高噪音的消音耳套，防止有毒、有害液体、气体伤害的手套、眼罩或护面具等；</w:t>
      </w:r>
    </w:p>
    <w:p w14:paraId="2253C163">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4）</w:t>
      </w:r>
      <w:r>
        <w:rPr>
          <w:rFonts w:hint="eastAsia" w:ascii="Times New Roman" w:hAnsi="Times New Roman" w:eastAsia="仿宋_GB2312" w:cs="Times New Roman"/>
          <w:bCs/>
          <w:sz w:val="28"/>
          <w:szCs w:val="28"/>
          <w:lang w:eastAsia="zh-CN"/>
        </w:rPr>
        <w:t>作业人员应掌握常见的预防、急救、自救方法（如流血、昏厥、虫、蛇咬伤等）；</w:t>
      </w:r>
    </w:p>
    <w:p w14:paraId="63FA1EA3">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5）</w:t>
      </w:r>
      <w:r>
        <w:rPr>
          <w:rFonts w:hint="eastAsia" w:ascii="Times New Roman" w:hAnsi="Times New Roman" w:eastAsia="仿宋_GB2312" w:cs="Times New Roman"/>
          <w:bCs/>
          <w:sz w:val="28"/>
          <w:szCs w:val="28"/>
          <w:lang w:eastAsia="zh-CN"/>
        </w:rPr>
        <w:t>作业点或作业点附近应有常用的急救药品和器具；</w:t>
      </w:r>
    </w:p>
    <w:p w14:paraId="12EB1CC1">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6）</w:t>
      </w:r>
      <w:r>
        <w:rPr>
          <w:rFonts w:hint="eastAsia" w:ascii="Times New Roman" w:hAnsi="Times New Roman" w:eastAsia="仿宋_GB2312" w:cs="Times New Roman"/>
          <w:bCs/>
          <w:sz w:val="28"/>
          <w:szCs w:val="28"/>
          <w:lang w:eastAsia="zh-CN"/>
        </w:rPr>
        <w:t>女职工在生理特殊时期和假期，应得到必要的保护；</w:t>
      </w:r>
    </w:p>
    <w:p w14:paraId="16F8982D">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7）</w:t>
      </w:r>
      <w:r>
        <w:rPr>
          <w:rFonts w:hint="eastAsia" w:ascii="Times New Roman" w:hAnsi="Times New Roman" w:eastAsia="仿宋_GB2312" w:cs="Times New Roman"/>
          <w:bCs/>
          <w:sz w:val="28"/>
          <w:szCs w:val="28"/>
          <w:lang w:eastAsia="zh-CN"/>
        </w:rPr>
        <w:t>患有特定疾病或身体不适者，不应从事或暂停从事机械、高空、爆破等危险作业；</w:t>
      </w:r>
    </w:p>
    <w:p w14:paraId="7889E78B">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8）</w:t>
      </w:r>
      <w:r>
        <w:rPr>
          <w:rFonts w:hint="eastAsia" w:ascii="Times New Roman" w:hAnsi="Times New Roman" w:eastAsia="仿宋_GB2312" w:cs="Times New Roman"/>
          <w:bCs/>
          <w:sz w:val="28"/>
          <w:szCs w:val="28"/>
          <w:lang w:eastAsia="zh-CN"/>
        </w:rPr>
        <w:t>作业人员在作业现场应使用所要求的防护用品。</w:t>
      </w:r>
    </w:p>
    <w:p w14:paraId="787685A5">
      <w:pPr>
        <w:pageBreakBefore w:val="0"/>
        <w:widowControl w:val="0"/>
        <w:kinsoku/>
        <w:wordWrap/>
        <w:overflowPunct/>
        <w:topLinePunct w:val="0"/>
        <w:bidi w:val="0"/>
        <w:spacing w:after="0" w:line="360" w:lineRule="auto"/>
        <w:ind w:firstLine="562" w:firstLineChars="200"/>
        <w:rPr>
          <w:rFonts w:hint="default" w:ascii="Times New Roman" w:hAnsi="Times New Roman" w:eastAsia="仿宋_GB2312" w:cs="Times New Roman"/>
          <w:b/>
          <w:bCs w:val="0"/>
          <w:sz w:val="28"/>
          <w:szCs w:val="28"/>
          <w:lang w:val="en-US" w:eastAsia="zh-CN"/>
        </w:rPr>
      </w:pPr>
      <w:r>
        <w:rPr>
          <w:rFonts w:hint="eastAsia" w:ascii="Times New Roman" w:hAnsi="Times New Roman" w:eastAsia="仿宋_GB2312" w:cs="Times New Roman"/>
          <w:b/>
          <w:bCs w:val="0"/>
          <w:sz w:val="28"/>
          <w:szCs w:val="28"/>
          <w:lang w:eastAsia="zh-CN"/>
        </w:rPr>
        <w:t>（</w:t>
      </w:r>
      <w:r>
        <w:rPr>
          <w:rFonts w:hint="eastAsia" w:ascii="Times New Roman" w:hAnsi="Times New Roman" w:eastAsia="仿宋_GB2312" w:cs="Times New Roman"/>
          <w:b/>
          <w:bCs w:val="0"/>
          <w:sz w:val="28"/>
          <w:szCs w:val="28"/>
          <w:lang w:val="en-US" w:eastAsia="zh-CN"/>
        </w:rPr>
        <w:t>4</w:t>
      </w:r>
      <w:r>
        <w:rPr>
          <w:rFonts w:hint="eastAsia" w:ascii="Times New Roman" w:hAnsi="Times New Roman" w:eastAsia="仿宋_GB2312" w:cs="Times New Roman"/>
          <w:b/>
          <w:bCs w:val="0"/>
          <w:sz w:val="28"/>
          <w:szCs w:val="28"/>
          <w:lang w:eastAsia="zh-CN"/>
        </w:rPr>
        <w:t>）</w:t>
      </w:r>
      <w:r>
        <w:rPr>
          <w:rFonts w:hint="eastAsia" w:ascii="Times New Roman" w:hAnsi="Times New Roman" w:eastAsia="仿宋_GB2312" w:cs="Times New Roman"/>
          <w:b/>
          <w:bCs w:val="0"/>
          <w:sz w:val="28"/>
          <w:szCs w:val="28"/>
          <w:lang w:val="en-US" w:eastAsia="zh-CN"/>
        </w:rPr>
        <w:t>伐木安全</w:t>
      </w:r>
    </w:p>
    <w:p w14:paraId="266E8A8E">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伐木作业危险性大、隐蔽性强、易出事故。实践表明：最适宜的伐木天气是无风或微风晴天和气象正常的阴天。在风、雨、雪、雾等非正常气象条件下伐木是极不安全的。当风速达到4级时逆风伐木应该停止，当风速达到5级时不管逆风还是顺风伐木都应停止。雨雪天气禁止进行伐木作业。雾天伐木因视线不良易伤及他人，因此能见度小于70米时严禁进行伐木作业。</w:t>
      </w:r>
    </w:p>
    <w:p w14:paraId="63F2D722">
      <w:pPr>
        <w:pageBreakBefore w:val="0"/>
        <w:widowControl w:val="0"/>
        <w:kinsoku/>
        <w:wordWrap/>
        <w:overflowPunct/>
        <w:topLinePunct w:val="0"/>
        <w:bidi w:val="0"/>
        <w:spacing w:after="0" w:line="360" w:lineRule="auto"/>
        <w:ind w:firstLine="560" w:firstLineChars="200"/>
        <w:rPr>
          <w:rFonts w:hint="default" w:ascii="Times New Roman" w:hAnsi="Times New Roman" w:eastAsia="仿宋_GB2312" w:cs="Times New Roman"/>
          <w:bCs/>
          <w:sz w:val="28"/>
          <w:szCs w:val="28"/>
          <w:lang w:val="en-US" w:eastAsia="zh-CN"/>
        </w:rPr>
      </w:pPr>
      <w:r>
        <w:rPr>
          <w:rFonts w:hint="eastAsia" w:ascii="Times New Roman" w:hAnsi="Times New Roman" w:eastAsia="仿宋_GB2312" w:cs="Times New Roman"/>
          <w:bCs/>
          <w:sz w:val="28"/>
          <w:szCs w:val="28"/>
          <w:lang w:val="en-US" w:eastAsia="zh-CN"/>
        </w:rPr>
        <w:t>伐木前，必须要求作业人员佩戴安全帽防护头部。在树倒方向后方两侧45度角的地方，开出宽1米，长2米的通道，通道内的障碍物要彻底清除，以使伐木人员遇到突然状况时，迅速退进安全道内，免受伤害。准确判断树的自然倒向和人为倒向，合理设计，为借向创造条件，伐木工人再通过技术措施实现人为倒向，确保人身安全。此外，要先将被伐木倒地时树干、树冠所及的“迎门树”伐掉。</w:t>
      </w:r>
    </w:p>
    <w:p w14:paraId="3EC941E8">
      <w:pPr>
        <w:pageBreakBefore w:val="0"/>
        <w:widowControl w:val="0"/>
        <w:kinsoku/>
        <w:wordWrap/>
        <w:overflowPunct/>
        <w:topLinePunct w:val="0"/>
        <w:bidi w:val="0"/>
        <w:spacing w:after="0" w:line="360" w:lineRule="auto"/>
        <w:ind w:firstLine="562" w:firstLineChars="200"/>
        <w:rPr>
          <w:rFonts w:hint="eastAsia" w:ascii="Times New Roman" w:hAnsi="Times New Roman" w:eastAsia="仿宋_GB2312" w:cs="Times New Roman"/>
          <w:b/>
          <w:bCs w:val="0"/>
          <w:sz w:val="28"/>
          <w:szCs w:val="28"/>
          <w:lang w:eastAsia="zh-CN"/>
        </w:rPr>
      </w:pPr>
      <w:r>
        <w:rPr>
          <w:rFonts w:hint="eastAsia" w:ascii="Times New Roman" w:hAnsi="Times New Roman" w:eastAsia="仿宋_GB2312" w:cs="Times New Roman"/>
          <w:b/>
          <w:bCs w:val="0"/>
          <w:sz w:val="28"/>
          <w:szCs w:val="28"/>
          <w:lang w:eastAsia="zh-CN"/>
        </w:rPr>
        <w:t>（</w:t>
      </w:r>
      <w:r>
        <w:rPr>
          <w:rFonts w:hint="eastAsia" w:ascii="Times New Roman" w:hAnsi="Times New Roman" w:eastAsia="仿宋_GB2312" w:cs="Times New Roman"/>
          <w:b/>
          <w:bCs w:val="0"/>
          <w:sz w:val="28"/>
          <w:szCs w:val="28"/>
          <w:lang w:val="en-US" w:eastAsia="zh-CN"/>
        </w:rPr>
        <w:t>5</w:t>
      </w:r>
      <w:r>
        <w:rPr>
          <w:rFonts w:hint="eastAsia" w:ascii="Times New Roman" w:hAnsi="Times New Roman" w:eastAsia="仿宋_GB2312" w:cs="Times New Roman"/>
          <w:b/>
          <w:bCs w:val="0"/>
          <w:sz w:val="28"/>
          <w:szCs w:val="28"/>
          <w:lang w:eastAsia="zh-CN"/>
        </w:rPr>
        <w:t>）防火防爆</w:t>
      </w:r>
    </w:p>
    <w:p w14:paraId="275EC3A2">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在</w:t>
      </w:r>
      <w:r>
        <w:rPr>
          <w:rFonts w:hint="eastAsia" w:ascii="Times New Roman" w:hAnsi="Times New Roman" w:eastAsia="仿宋_GB2312" w:cs="Times New Roman"/>
          <w:bCs/>
          <w:sz w:val="28"/>
          <w:szCs w:val="28"/>
          <w:lang w:val="en-US" w:eastAsia="zh-CN"/>
        </w:rPr>
        <w:t>采伐</w:t>
      </w:r>
      <w:r>
        <w:rPr>
          <w:rFonts w:hint="eastAsia" w:ascii="Times New Roman" w:hAnsi="Times New Roman" w:eastAsia="仿宋_GB2312" w:cs="Times New Roman"/>
          <w:bCs/>
          <w:sz w:val="28"/>
          <w:szCs w:val="28"/>
          <w:lang w:eastAsia="zh-CN"/>
        </w:rPr>
        <w:t>作业区不应用火。如遇特殊情况应用火时，应清理出场地，火源半径3m内不应有任何可燃物质，作业人员离开火源时，应彻底将火熄灭。</w:t>
      </w:r>
    </w:p>
    <w:p w14:paraId="339561BD">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本工程</w:t>
      </w:r>
      <w:r>
        <w:rPr>
          <w:rFonts w:hint="eastAsia" w:ascii="Times New Roman" w:hAnsi="Times New Roman" w:eastAsia="仿宋_GB2312" w:cs="Times New Roman"/>
          <w:bCs/>
          <w:sz w:val="28"/>
          <w:szCs w:val="28"/>
          <w:lang w:val="en-US" w:eastAsia="zh-CN"/>
        </w:rPr>
        <w:t>的</w:t>
      </w:r>
      <w:r>
        <w:rPr>
          <w:rFonts w:hint="eastAsia" w:ascii="Times New Roman" w:hAnsi="Times New Roman" w:eastAsia="仿宋_GB2312" w:cs="Times New Roman"/>
          <w:bCs/>
          <w:sz w:val="28"/>
          <w:szCs w:val="28"/>
          <w:lang w:eastAsia="zh-CN"/>
        </w:rPr>
        <w:t>土方、砼、毛石砼主结构</w:t>
      </w:r>
      <w:r>
        <w:rPr>
          <w:rFonts w:hint="eastAsia" w:ascii="Times New Roman" w:hAnsi="Times New Roman" w:eastAsia="仿宋_GB2312" w:cs="Times New Roman"/>
          <w:bCs/>
          <w:sz w:val="28"/>
          <w:szCs w:val="28"/>
          <w:lang w:val="en-US" w:eastAsia="zh-CN"/>
        </w:rPr>
        <w:t>的构筑</w:t>
      </w:r>
      <w:r>
        <w:rPr>
          <w:rFonts w:hint="eastAsia" w:ascii="Times New Roman" w:hAnsi="Times New Roman" w:eastAsia="仿宋_GB2312" w:cs="Times New Roman"/>
          <w:bCs/>
          <w:sz w:val="28"/>
          <w:szCs w:val="28"/>
          <w:lang w:eastAsia="zh-CN"/>
        </w:rPr>
        <w:t>物，施工期间临时仓库</w:t>
      </w:r>
      <w:r>
        <w:rPr>
          <w:rFonts w:hint="eastAsia" w:ascii="Times New Roman" w:hAnsi="Times New Roman" w:eastAsia="仿宋_GB2312" w:cs="Times New Roman"/>
          <w:bCs/>
          <w:sz w:val="28"/>
          <w:szCs w:val="28"/>
          <w:lang w:val="en-US" w:eastAsia="zh-CN"/>
        </w:rPr>
        <w:t>将</w:t>
      </w:r>
      <w:r>
        <w:rPr>
          <w:rFonts w:hint="eastAsia" w:ascii="Times New Roman" w:hAnsi="Times New Roman" w:eastAsia="仿宋_GB2312" w:cs="Times New Roman"/>
          <w:bCs/>
          <w:sz w:val="28"/>
          <w:szCs w:val="28"/>
          <w:lang w:eastAsia="zh-CN"/>
        </w:rPr>
        <w:t>保存较多的木材、燃油、土工织物和其它易燃、易爆材料。因此，首先根据生产场所的性质，确定其火灾危险性类别和耐火等级，然后再定建筑物各构件的燃烧性能和耐火等级均不低于规程的规定值。</w:t>
      </w:r>
    </w:p>
    <w:p w14:paraId="494FC6DD">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备用的燃料、油料，以及其它化学制剂应有固定的场地和专用的容器，远离地上水域和居民点100m以外，并设立特定的警示标志。</w:t>
      </w:r>
    </w:p>
    <w:p w14:paraId="4E9D59FD">
      <w:pPr>
        <w:pageBreakBefore w:val="0"/>
        <w:widowControl w:val="0"/>
        <w:numPr>
          <w:ilvl w:val="0"/>
          <w:numId w:val="0"/>
        </w:numPr>
        <w:kinsoku/>
        <w:wordWrap/>
        <w:overflowPunct/>
        <w:topLinePunct w:val="0"/>
        <w:bidi w:val="0"/>
        <w:spacing w:after="0" w:line="360" w:lineRule="auto"/>
        <w:ind w:firstLine="562" w:firstLineChars="200"/>
        <w:rPr>
          <w:rFonts w:hint="eastAsia" w:ascii="Times New Roman" w:hAnsi="Times New Roman" w:eastAsia="仿宋_GB2312" w:cs="Times New Roman"/>
          <w:b/>
          <w:bCs w:val="0"/>
          <w:sz w:val="28"/>
          <w:szCs w:val="28"/>
          <w:lang w:eastAsia="zh-CN"/>
        </w:rPr>
      </w:pPr>
      <w:r>
        <w:rPr>
          <w:rFonts w:hint="eastAsia" w:ascii="Times New Roman" w:hAnsi="Times New Roman" w:eastAsia="仿宋_GB2312" w:cs="Times New Roman"/>
          <w:b/>
          <w:bCs w:val="0"/>
          <w:sz w:val="28"/>
          <w:szCs w:val="28"/>
          <w:lang w:val="en-US" w:eastAsia="zh-CN" w:bidi="ar-SA"/>
        </w:rPr>
        <w:t>（6）</w:t>
      </w:r>
      <w:r>
        <w:rPr>
          <w:rFonts w:hint="eastAsia" w:ascii="Times New Roman" w:hAnsi="Times New Roman" w:eastAsia="仿宋_GB2312" w:cs="Times New Roman"/>
          <w:b/>
          <w:bCs w:val="0"/>
          <w:sz w:val="28"/>
          <w:szCs w:val="28"/>
          <w:lang w:eastAsia="zh-CN"/>
        </w:rPr>
        <w:t>防雷电及防电气伤害</w:t>
      </w:r>
    </w:p>
    <w:p w14:paraId="364E738F">
      <w:pPr>
        <w:pageBreakBefore w:val="0"/>
        <w:widowControl w:val="0"/>
        <w:numPr>
          <w:ilvl w:val="0"/>
          <w:numId w:val="0"/>
        </w:numPr>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在临时建筑顶部采用避雷针，接闪器的引下线接入接地装置，引下线不少于2根，其间距不大于25m，冲击接地电阻小于20Ω。凡进入建筑物的埋地金属管道，电源通过一段金属管道引入，均在其入户处与防雷接地装置相连，屋面的处理相同。电气设备采用成套开关柜，设备防护符合</w:t>
      </w:r>
      <w:r>
        <w:rPr>
          <w:rFonts w:hint="eastAsia" w:ascii="Times New Roman" w:hAnsi="Times New Roman" w:eastAsia="仿宋_GB2312" w:cs="Times New Roman"/>
          <w:bCs/>
          <w:sz w:val="28"/>
          <w:szCs w:val="28"/>
          <w:lang w:val="en-US" w:eastAsia="zh-CN"/>
        </w:rPr>
        <w:t>相关安全规范</w:t>
      </w:r>
      <w:r>
        <w:rPr>
          <w:rFonts w:hint="eastAsia" w:ascii="Times New Roman" w:hAnsi="Times New Roman" w:eastAsia="仿宋_GB2312" w:cs="Times New Roman"/>
          <w:bCs/>
          <w:sz w:val="28"/>
          <w:szCs w:val="28"/>
          <w:lang w:eastAsia="zh-CN"/>
        </w:rPr>
        <w:t>，高压开关柜具有“五防”要求。</w:t>
      </w:r>
    </w:p>
    <w:p w14:paraId="47E69731">
      <w:pPr>
        <w:pageBreakBefore w:val="0"/>
        <w:widowControl w:val="0"/>
        <w:numPr>
          <w:ilvl w:val="0"/>
          <w:numId w:val="0"/>
        </w:numPr>
        <w:kinsoku/>
        <w:wordWrap/>
        <w:overflowPunct/>
        <w:topLinePunct w:val="0"/>
        <w:bidi w:val="0"/>
        <w:spacing w:after="0" w:line="360" w:lineRule="auto"/>
        <w:ind w:firstLine="562" w:firstLineChars="200"/>
        <w:rPr>
          <w:rFonts w:hint="eastAsia" w:ascii="Times New Roman" w:hAnsi="Times New Roman" w:eastAsia="仿宋_GB2312" w:cs="Times New Roman"/>
          <w:b/>
          <w:bCs w:val="0"/>
          <w:sz w:val="28"/>
          <w:szCs w:val="28"/>
          <w:lang w:eastAsia="zh-CN"/>
        </w:rPr>
      </w:pPr>
      <w:r>
        <w:rPr>
          <w:rFonts w:hint="eastAsia" w:ascii="Times New Roman" w:hAnsi="Times New Roman" w:eastAsia="仿宋_GB2312" w:cs="Times New Roman"/>
          <w:b/>
          <w:bCs w:val="0"/>
          <w:sz w:val="28"/>
          <w:szCs w:val="28"/>
          <w:lang w:eastAsia="zh-CN"/>
        </w:rPr>
        <w:t>（</w:t>
      </w:r>
      <w:r>
        <w:rPr>
          <w:rFonts w:hint="eastAsia" w:ascii="Times New Roman" w:hAnsi="Times New Roman" w:eastAsia="仿宋_GB2312" w:cs="Times New Roman"/>
          <w:b/>
          <w:bCs w:val="0"/>
          <w:sz w:val="28"/>
          <w:szCs w:val="28"/>
          <w:lang w:val="en-US" w:eastAsia="zh-CN"/>
        </w:rPr>
        <w:t>7</w:t>
      </w:r>
      <w:r>
        <w:rPr>
          <w:rFonts w:hint="eastAsia" w:ascii="Times New Roman" w:hAnsi="Times New Roman" w:eastAsia="仿宋_GB2312" w:cs="Times New Roman"/>
          <w:b/>
          <w:bCs w:val="0"/>
          <w:sz w:val="28"/>
          <w:szCs w:val="28"/>
          <w:lang w:eastAsia="zh-CN"/>
        </w:rPr>
        <w:t>）防机械伤害、防坠落伤害</w:t>
      </w:r>
    </w:p>
    <w:p w14:paraId="643C91BE">
      <w:pPr>
        <w:pageBreakBefore w:val="0"/>
        <w:widowControl w:val="0"/>
        <w:numPr>
          <w:ilvl w:val="0"/>
          <w:numId w:val="0"/>
        </w:numPr>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使用的机械设备，应有详细的使用说明，并由专业人员操作，不应超负荷作业。机械设备应定期检修，各种机械裸露的传动、转动、齿轮部分，应有完整、有效的防护装置。机械设备在使用前应进行检测、清洗、润滑、紧固、调整，没有授权检测部门的认证，不应使用。作业后，应对所有使用的机械设备进行检修、清洗、润滑、紧固、调整和妥善保管。</w:t>
      </w:r>
    </w:p>
    <w:p w14:paraId="5A5899D0">
      <w:pPr>
        <w:pageBreakBefore w:val="0"/>
        <w:widowControl w:val="0"/>
        <w:numPr>
          <w:ilvl w:val="0"/>
          <w:numId w:val="0"/>
        </w:numPr>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维修场地和排放的无毒废液应远离地上水域50m以外，无毒固体废物应集中转移或埋入地下0.5m以下。有条件时，应对有害废物、废液进行无毒处理。否则，集中转移至专门的处理区域。机械设备在作业过程中应避免燃料、油料溢出。</w:t>
      </w:r>
    </w:p>
    <w:p w14:paraId="31BA6677">
      <w:pPr>
        <w:pageBreakBefore w:val="0"/>
        <w:widowControl w:val="0"/>
        <w:numPr>
          <w:ilvl w:val="0"/>
          <w:numId w:val="0"/>
        </w:numPr>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所有易对人员引起伤害的机械或电气设备，均需外壳保护，或在四周设围栏保护，以防闲杂人员进入，引起不必要的伤害。开孔处须设置防护栏杆或盖板，在检修时可能形成的坠落高度在2m以上的孔、坑，均设置临时防护栏杆。电气设备室的设备布置和安全设施符合《生产设备安全卫生设计总则》（GB 5083-1999）、《机械防护安全距离》（GB12295-90）、《机械设备防护罩安全要求》（GB8196-87）和《防护屏安全要求》（GB8197-87）等有关规定的要求。</w:t>
      </w:r>
    </w:p>
    <w:p w14:paraId="2E257ABF">
      <w:pPr>
        <w:pageBreakBefore w:val="0"/>
        <w:widowControl w:val="0"/>
        <w:kinsoku/>
        <w:wordWrap/>
        <w:overflowPunct/>
        <w:topLinePunct w:val="0"/>
        <w:bidi w:val="0"/>
        <w:spacing w:after="0" w:line="360" w:lineRule="auto"/>
        <w:ind w:firstLine="562" w:firstLineChars="200"/>
        <w:rPr>
          <w:rFonts w:hint="default" w:ascii="Times New Roman" w:hAnsi="Times New Roman" w:eastAsia="仿宋_GB2312" w:cs="Times New Roman"/>
          <w:b/>
          <w:bCs w:val="0"/>
          <w:sz w:val="28"/>
          <w:szCs w:val="28"/>
          <w:lang w:val="en-US" w:eastAsia="zh-CN"/>
        </w:rPr>
      </w:pPr>
      <w:r>
        <w:rPr>
          <w:rFonts w:hint="eastAsia" w:ascii="Times New Roman" w:hAnsi="Times New Roman" w:eastAsia="仿宋_GB2312" w:cs="Times New Roman"/>
          <w:b/>
          <w:bCs w:val="0"/>
          <w:sz w:val="28"/>
          <w:szCs w:val="28"/>
          <w:lang w:eastAsia="zh-CN"/>
        </w:rPr>
        <w:t>（</w:t>
      </w:r>
      <w:r>
        <w:rPr>
          <w:rFonts w:hint="eastAsia" w:ascii="Times New Roman" w:hAnsi="Times New Roman" w:eastAsia="仿宋_GB2312" w:cs="Times New Roman"/>
          <w:b/>
          <w:bCs w:val="0"/>
          <w:sz w:val="28"/>
          <w:szCs w:val="28"/>
          <w:lang w:val="en-US" w:eastAsia="zh-CN"/>
        </w:rPr>
        <w:t>8</w:t>
      </w:r>
      <w:r>
        <w:rPr>
          <w:rFonts w:hint="eastAsia" w:ascii="Times New Roman" w:hAnsi="Times New Roman" w:eastAsia="仿宋_GB2312" w:cs="Times New Roman"/>
          <w:b/>
          <w:bCs w:val="0"/>
          <w:sz w:val="28"/>
          <w:szCs w:val="28"/>
          <w:lang w:eastAsia="zh-CN"/>
        </w:rPr>
        <w:t>）</w:t>
      </w:r>
      <w:r>
        <w:rPr>
          <w:rFonts w:hint="eastAsia" w:ascii="Times New Roman" w:hAnsi="Times New Roman" w:eastAsia="仿宋_GB2312" w:cs="Times New Roman"/>
          <w:b/>
          <w:bCs w:val="0"/>
          <w:sz w:val="28"/>
          <w:szCs w:val="28"/>
          <w:lang w:val="en-US" w:eastAsia="zh-CN"/>
        </w:rPr>
        <w:t>安全疏散</w:t>
      </w:r>
    </w:p>
    <w:p w14:paraId="7F1E84E4">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结合</w:t>
      </w:r>
      <w:r>
        <w:rPr>
          <w:rFonts w:hint="eastAsia" w:ascii="Times New Roman" w:hAnsi="Times New Roman" w:eastAsia="仿宋_GB2312" w:cs="Times New Roman"/>
          <w:bCs/>
          <w:sz w:val="28"/>
          <w:szCs w:val="28"/>
          <w:lang w:val="en-US" w:eastAsia="zh-CN"/>
        </w:rPr>
        <w:t>营造林及配套工程施工场地</w:t>
      </w:r>
      <w:r>
        <w:rPr>
          <w:rFonts w:hint="eastAsia" w:ascii="Times New Roman" w:hAnsi="Times New Roman" w:eastAsia="仿宋_GB2312" w:cs="Times New Roman"/>
          <w:bCs/>
          <w:sz w:val="28"/>
          <w:szCs w:val="28"/>
          <w:lang w:eastAsia="zh-CN"/>
        </w:rPr>
        <w:t>，对施工集中区和管理区等建筑物设置安全疏散通道，</w:t>
      </w:r>
      <w:r>
        <w:rPr>
          <w:rFonts w:hint="eastAsia" w:ascii="Times New Roman" w:hAnsi="Times New Roman" w:eastAsia="仿宋_GB2312" w:cs="Times New Roman"/>
          <w:bCs/>
          <w:sz w:val="28"/>
          <w:szCs w:val="28"/>
          <w:lang w:val="en-US" w:eastAsia="zh-CN"/>
        </w:rPr>
        <w:t>在发生火灾、洪灾、泥石流、山体滑坡等灾害时能及时疏散</w:t>
      </w:r>
      <w:r>
        <w:rPr>
          <w:rFonts w:hint="eastAsia" w:ascii="Times New Roman" w:hAnsi="Times New Roman" w:eastAsia="仿宋_GB2312" w:cs="Times New Roman"/>
          <w:bCs/>
          <w:sz w:val="28"/>
          <w:szCs w:val="28"/>
          <w:lang w:eastAsia="zh-CN"/>
        </w:rPr>
        <w:t>。</w:t>
      </w:r>
    </w:p>
    <w:p w14:paraId="221EF34C">
      <w:pPr>
        <w:pStyle w:val="4"/>
        <w:pageBreakBefore w:val="0"/>
        <w:widowControl w:val="0"/>
        <w:kinsoku/>
        <w:wordWrap/>
        <w:overflowPunct/>
        <w:topLinePunct w:val="0"/>
        <w:bidi w:val="0"/>
        <w:spacing w:before="163" w:beforeLines="50" w:after="163" w:afterLines="50" w:line="360" w:lineRule="auto"/>
        <w:ind w:firstLine="602"/>
        <w:jc w:val="left"/>
        <w:rPr>
          <w:rFonts w:hint="eastAsia" w:ascii="楷体_GB2312" w:hAnsi="宋体" w:eastAsia="楷体_GB2312" w:cs="宋体"/>
          <w:bCs/>
          <w:sz w:val="30"/>
          <w:szCs w:val="30"/>
          <w:lang w:eastAsia="zh-CN"/>
        </w:rPr>
      </w:pPr>
      <w:r>
        <w:rPr>
          <w:rFonts w:hint="eastAsia" w:ascii="楷体_GB2312" w:hAnsi="宋体" w:eastAsia="楷体_GB2312" w:cs="宋体"/>
          <w:bCs/>
          <w:sz w:val="30"/>
          <w:szCs w:val="30"/>
          <w:lang w:eastAsia="zh-CN"/>
        </w:rPr>
        <w:t>6</w:t>
      </w:r>
      <w:r>
        <w:rPr>
          <w:rFonts w:hint="eastAsia" w:ascii="楷体_GB2312" w:hAnsi="宋体" w:eastAsia="楷体_GB2312" w:cs="宋体"/>
          <w:bCs/>
          <w:sz w:val="30"/>
          <w:szCs w:val="30"/>
          <w:lang w:val="en-US" w:eastAsia="zh-CN"/>
        </w:rPr>
        <w:t>.3.3</w:t>
      </w:r>
      <w:r>
        <w:rPr>
          <w:rFonts w:hint="eastAsia" w:ascii="楷体_GB2312" w:hAnsi="宋体" w:eastAsia="楷体_GB2312" w:cs="宋体"/>
          <w:bCs/>
          <w:sz w:val="30"/>
          <w:szCs w:val="30"/>
          <w:lang w:eastAsia="zh-CN"/>
        </w:rPr>
        <w:t>职业卫生</w:t>
      </w:r>
    </w:p>
    <w:p w14:paraId="40A9C30B">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执行项目区卫生管理规定，建立卫生检疫制度，加强公共和个人卫生安全，通过在项目区内设置洗手池、消毒池、鼠害防治点等措施，防止疾病发生，提高项目区公共卫生安全水平。</w:t>
      </w:r>
    </w:p>
    <w:p w14:paraId="58261E4D">
      <w:pPr>
        <w:pageBreakBefore w:val="0"/>
        <w:widowControl w:val="0"/>
        <w:kinsoku/>
        <w:wordWrap/>
        <w:overflowPunct/>
        <w:topLinePunct w:val="0"/>
        <w:bidi w:val="0"/>
        <w:spacing w:after="0" w:line="360" w:lineRule="auto"/>
        <w:ind w:firstLine="562" w:firstLineChars="200"/>
        <w:rPr>
          <w:rFonts w:hint="eastAsia" w:ascii="Times New Roman" w:hAnsi="Times New Roman" w:eastAsia="仿宋_GB2312" w:cs="Times New Roman"/>
          <w:b/>
          <w:bCs w:val="0"/>
          <w:sz w:val="28"/>
          <w:szCs w:val="28"/>
          <w:lang w:eastAsia="zh-CN"/>
        </w:rPr>
      </w:pPr>
      <w:r>
        <w:rPr>
          <w:rFonts w:hint="eastAsia" w:ascii="Times New Roman" w:hAnsi="Times New Roman" w:eastAsia="仿宋_GB2312" w:cs="Times New Roman"/>
          <w:b/>
          <w:bCs w:val="0"/>
          <w:sz w:val="28"/>
          <w:szCs w:val="28"/>
          <w:lang w:eastAsia="zh-CN"/>
        </w:rPr>
        <w:t>（</w:t>
      </w:r>
      <w:r>
        <w:rPr>
          <w:rFonts w:hint="eastAsia" w:ascii="Times New Roman" w:hAnsi="Times New Roman" w:eastAsia="仿宋_GB2312" w:cs="Times New Roman"/>
          <w:b/>
          <w:bCs w:val="0"/>
          <w:sz w:val="28"/>
          <w:szCs w:val="28"/>
          <w:lang w:val="en-US" w:eastAsia="zh-CN"/>
        </w:rPr>
        <w:t>1</w:t>
      </w:r>
      <w:r>
        <w:rPr>
          <w:rFonts w:hint="eastAsia" w:ascii="Times New Roman" w:hAnsi="Times New Roman" w:eastAsia="仿宋_GB2312" w:cs="Times New Roman"/>
          <w:b/>
          <w:bCs w:val="0"/>
          <w:sz w:val="28"/>
          <w:szCs w:val="28"/>
          <w:lang w:eastAsia="zh-CN"/>
        </w:rPr>
        <w:t>）场地</w:t>
      </w:r>
      <w:r>
        <w:rPr>
          <w:rFonts w:hint="eastAsia" w:ascii="Times New Roman" w:hAnsi="Times New Roman" w:eastAsia="仿宋_GB2312" w:cs="Times New Roman"/>
          <w:b/>
          <w:bCs w:val="0"/>
          <w:sz w:val="28"/>
          <w:szCs w:val="28"/>
          <w:lang w:val="en-US" w:eastAsia="zh-CN"/>
        </w:rPr>
        <w:t>卫生</w:t>
      </w:r>
    </w:p>
    <w:p w14:paraId="202CFB17">
      <w:pPr>
        <w:pageBreakBefore w:val="0"/>
        <w:widowControl w:val="0"/>
        <w:kinsoku/>
        <w:wordWrap/>
        <w:overflowPunct/>
        <w:topLinePunct w:val="0"/>
        <w:bidi w:val="0"/>
        <w:spacing w:after="0" w:line="360" w:lineRule="auto"/>
        <w:ind w:firstLine="560" w:firstLineChars="200"/>
        <w:rPr>
          <w:rFonts w:hint="default" w:ascii="Times New Roman" w:hAnsi="Times New Roman" w:eastAsia="仿宋_GB2312" w:cs="Times New Roman"/>
          <w:bCs/>
          <w:sz w:val="28"/>
          <w:szCs w:val="28"/>
          <w:lang w:val="en-US" w:eastAsia="zh-CN"/>
        </w:rPr>
      </w:pPr>
      <w:r>
        <w:rPr>
          <w:rFonts w:hint="eastAsia" w:ascii="Times New Roman" w:hAnsi="Times New Roman" w:eastAsia="仿宋_GB2312" w:cs="Times New Roman"/>
          <w:bCs/>
          <w:sz w:val="28"/>
          <w:szCs w:val="28"/>
          <w:lang w:val="en-US" w:eastAsia="zh-CN"/>
        </w:rPr>
        <w:t>1</w:t>
      </w:r>
      <w:r>
        <w:rPr>
          <w:rFonts w:hint="eastAsia" w:ascii="Times New Roman" w:hAnsi="Times New Roman" w:eastAsia="仿宋_GB2312" w:cs="Times New Roman"/>
          <w:bCs/>
          <w:sz w:val="28"/>
          <w:szCs w:val="28"/>
          <w:lang w:eastAsia="zh-CN"/>
        </w:rPr>
        <w:t>）作业人员的临时居住（</w:t>
      </w:r>
      <w:r>
        <w:rPr>
          <w:rFonts w:hint="eastAsia" w:ascii="Times New Roman" w:hAnsi="Times New Roman" w:eastAsia="仿宋_GB2312" w:cs="Times New Roman"/>
          <w:bCs/>
          <w:sz w:val="28"/>
          <w:szCs w:val="28"/>
          <w:lang w:val="en-US" w:eastAsia="zh-CN"/>
        </w:rPr>
        <w:t>或休息</w:t>
      </w:r>
      <w:r>
        <w:rPr>
          <w:rFonts w:hint="eastAsia" w:ascii="Times New Roman" w:hAnsi="Times New Roman" w:eastAsia="仿宋_GB2312" w:cs="Times New Roman"/>
          <w:bCs/>
          <w:sz w:val="28"/>
          <w:szCs w:val="28"/>
          <w:lang w:eastAsia="zh-CN"/>
        </w:rPr>
        <w:t>）场地，应选择在地势平坦开阔、排水良好、不受山洪威胁的地段，</w:t>
      </w:r>
      <w:r>
        <w:rPr>
          <w:rFonts w:hint="eastAsia" w:ascii="Times New Roman" w:hAnsi="Times New Roman" w:eastAsia="仿宋_GB2312" w:cs="Times New Roman"/>
          <w:bCs/>
          <w:sz w:val="28"/>
          <w:szCs w:val="28"/>
          <w:lang w:val="en-US" w:eastAsia="zh-CN"/>
        </w:rPr>
        <w:t>建议选择在附近村庄。</w:t>
      </w:r>
    </w:p>
    <w:p w14:paraId="7CD8BF18">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2</w:t>
      </w:r>
      <w:r>
        <w:rPr>
          <w:rFonts w:hint="eastAsia" w:ascii="Times New Roman" w:hAnsi="Times New Roman" w:eastAsia="仿宋_GB2312" w:cs="Times New Roman"/>
          <w:bCs/>
          <w:sz w:val="28"/>
          <w:szCs w:val="28"/>
          <w:lang w:eastAsia="zh-CN"/>
        </w:rPr>
        <w:t>）临时居住（</w:t>
      </w:r>
      <w:r>
        <w:rPr>
          <w:rFonts w:hint="eastAsia" w:ascii="Times New Roman" w:hAnsi="Times New Roman" w:eastAsia="仿宋_GB2312" w:cs="Times New Roman"/>
          <w:bCs/>
          <w:sz w:val="28"/>
          <w:szCs w:val="28"/>
          <w:lang w:val="en-US" w:eastAsia="zh-CN"/>
        </w:rPr>
        <w:t>或休息</w:t>
      </w:r>
      <w:r>
        <w:rPr>
          <w:rFonts w:hint="eastAsia" w:ascii="Times New Roman" w:hAnsi="Times New Roman" w:eastAsia="仿宋_GB2312" w:cs="Times New Roman"/>
          <w:bCs/>
          <w:sz w:val="28"/>
          <w:szCs w:val="28"/>
          <w:lang w:eastAsia="zh-CN"/>
        </w:rPr>
        <w:t>）场地选择后，应该进行精心的</w:t>
      </w:r>
      <w:r>
        <w:rPr>
          <w:rFonts w:hint="eastAsia" w:ascii="Times New Roman" w:hAnsi="Times New Roman" w:eastAsia="仿宋_GB2312" w:cs="Times New Roman"/>
          <w:bCs/>
          <w:sz w:val="28"/>
          <w:szCs w:val="28"/>
          <w:lang w:val="en-US" w:eastAsia="zh-CN"/>
        </w:rPr>
        <w:t>布置</w:t>
      </w:r>
      <w:r>
        <w:rPr>
          <w:rFonts w:hint="eastAsia" w:ascii="Times New Roman" w:hAnsi="Times New Roman" w:eastAsia="仿宋_GB2312" w:cs="Times New Roman"/>
          <w:bCs/>
          <w:sz w:val="28"/>
          <w:szCs w:val="28"/>
          <w:lang w:eastAsia="zh-CN"/>
        </w:rPr>
        <w:t>，包括寝室、厨房、仓库、储藏室、活动场地、供电场地、厕所、排水沟、供水、污水、废物处理等。</w:t>
      </w:r>
    </w:p>
    <w:p w14:paraId="538C4DD7">
      <w:pPr>
        <w:pageBreakBefore w:val="0"/>
        <w:widowControl w:val="0"/>
        <w:kinsoku/>
        <w:wordWrap/>
        <w:overflowPunct/>
        <w:topLinePunct w:val="0"/>
        <w:bidi w:val="0"/>
        <w:spacing w:after="0" w:line="360" w:lineRule="auto"/>
        <w:ind w:firstLine="562" w:firstLineChars="200"/>
        <w:rPr>
          <w:rFonts w:hint="eastAsia" w:ascii="Times New Roman" w:hAnsi="Times New Roman" w:eastAsia="仿宋_GB2312" w:cs="Times New Roman"/>
          <w:b/>
          <w:bCs w:val="0"/>
          <w:sz w:val="28"/>
          <w:szCs w:val="28"/>
          <w:lang w:eastAsia="zh-CN"/>
        </w:rPr>
      </w:pPr>
      <w:r>
        <w:rPr>
          <w:rFonts w:hint="eastAsia" w:ascii="Times New Roman" w:hAnsi="Times New Roman" w:eastAsia="仿宋_GB2312" w:cs="Times New Roman"/>
          <w:b/>
          <w:bCs w:val="0"/>
          <w:sz w:val="28"/>
          <w:szCs w:val="28"/>
          <w:lang w:eastAsia="zh-CN"/>
        </w:rPr>
        <w:t>（</w:t>
      </w:r>
      <w:r>
        <w:rPr>
          <w:rFonts w:hint="eastAsia" w:ascii="Times New Roman" w:hAnsi="Times New Roman" w:eastAsia="仿宋_GB2312" w:cs="Times New Roman"/>
          <w:b/>
          <w:bCs w:val="0"/>
          <w:sz w:val="28"/>
          <w:szCs w:val="28"/>
          <w:lang w:val="en-US" w:eastAsia="zh-CN"/>
        </w:rPr>
        <w:t>2</w:t>
      </w:r>
      <w:r>
        <w:rPr>
          <w:rFonts w:hint="eastAsia" w:ascii="Times New Roman" w:hAnsi="Times New Roman" w:eastAsia="仿宋_GB2312" w:cs="Times New Roman"/>
          <w:b/>
          <w:bCs w:val="0"/>
          <w:sz w:val="28"/>
          <w:szCs w:val="28"/>
          <w:lang w:eastAsia="zh-CN"/>
        </w:rPr>
        <w:t>）生活用水</w:t>
      </w:r>
    </w:p>
    <w:p w14:paraId="5CEC3E2C">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 w:val="0"/>
          <w:bCs/>
          <w:sz w:val="28"/>
          <w:szCs w:val="28"/>
          <w:lang w:eastAsia="zh-CN"/>
        </w:rPr>
        <w:t>1</w:t>
      </w:r>
      <w:r>
        <w:rPr>
          <w:rFonts w:hint="eastAsia" w:ascii="Times New Roman" w:hAnsi="Times New Roman" w:eastAsia="仿宋_GB2312" w:cs="Times New Roman"/>
          <w:bCs/>
          <w:sz w:val="28"/>
          <w:szCs w:val="28"/>
          <w:lang w:eastAsia="zh-CN"/>
        </w:rPr>
        <w:t>）不应直接使用积水或受污染的河水</w:t>
      </w:r>
      <w:r>
        <w:rPr>
          <w:rFonts w:hint="eastAsia" w:ascii="Times New Roman" w:hAnsi="Times New Roman" w:eastAsia="仿宋_GB2312" w:cs="Times New Roman"/>
          <w:bCs/>
          <w:sz w:val="28"/>
          <w:szCs w:val="28"/>
          <w:lang w:val="en-US" w:eastAsia="zh-CN"/>
        </w:rPr>
        <w:t>.</w:t>
      </w:r>
    </w:p>
    <w:p w14:paraId="246DDA84">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2</w:t>
      </w:r>
      <w:r>
        <w:rPr>
          <w:rFonts w:hint="eastAsia" w:ascii="Times New Roman" w:hAnsi="Times New Roman" w:eastAsia="仿宋_GB2312" w:cs="Times New Roman"/>
          <w:bCs/>
          <w:sz w:val="28"/>
          <w:szCs w:val="28"/>
          <w:lang w:eastAsia="zh-CN"/>
        </w:rPr>
        <w:t>）应取用达到饮用标准的河水、溪水、雨水或泉水。</w:t>
      </w:r>
    </w:p>
    <w:p w14:paraId="7E7199A2">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3</w:t>
      </w:r>
      <w:r>
        <w:rPr>
          <w:rFonts w:hint="eastAsia" w:ascii="Times New Roman" w:hAnsi="Times New Roman" w:eastAsia="仿宋_GB2312" w:cs="Times New Roman"/>
          <w:bCs/>
          <w:sz w:val="28"/>
          <w:szCs w:val="28"/>
          <w:lang w:eastAsia="zh-CN"/>
        </w:rPr>
        <w:t>）以蓄水池为水源时，应采取防止蚊、虫繁殖的措施，并进行消毒处理。</w:t>
      </w:r>
    </w:p>
    <w:p w14:paraId="79E2C887">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4</w:t>
      </w:r>
      <w:r>
        <w:rPr>
          <w:rFonts w:hint="eastAsia" w:ascii="Times New Roman" w:hAnsi="Times New Roman" w:eastAsia="仿宋_GB2312" w:cs="Times New Roman"/>
          <w:bCs/>
          <w:sz w:val="28"/>
          <w:szCs w:val="28"/>
          <w:lang w:eastAsia="zh-CN"/>
        </w:rPr>
        <w:t>）所有饮用水应烧开和过滤后才能使用。</w:t>
      </w:r>
    </w:p>
    <w:p w14:paraId="44BE1F13">
      <w:pPr>
        <w:pageBreakBefore w:val="0"/>
        <w:widowControl w:val="0"/>
        <w:kinsoku/>
        <w:wordWrap/>
        <w:overflowPunct/>
        <w:topLinePunct w:val="0"/>
        <w:bidi w:val="0"/>
        <w:spacing w:after="0" w:line="360" w:lineRule="auto"/>
        <w:ind w:firstLine="562" w:firstLineChars="200"/>
        <w:rPr>
          <w:rFonts w:hint="eastAsia" w:ascii="Times New Roman" w:hAnsi="Times New Roman" w:eastAsia="仿宋_GB2312" w:cs="Times New Roman"/>
          <w:b/>
          <w:bCs w:val="0"/>
          <w:sz w:val="28"/>
          <w:szCs w:val="28"/>
          <w:lang w:eastAsia="zh-CN"/>
        </w:rPr>
      </w:pPr>
      <w:r>
        <w:rPr>
          <w:rFonts w:hint="eastAsia" w:ascii="Times New Roman" w:hAnsi="Times New Roman" w:eastAsia="仿宋_GB2312" w:cs="Times New Roman"/>
          <w:b/>
          <w:bCs w:val="0"/>
          <w:sz w:val="28"/>
          <w:szCs w:val="28"/>
          <w:lang w:eastAsia="zh-CN"/>
        </w:rPr>
        <w:t>（</w:t>
      </w:r>
      <w:r>
        <w:rPr>
          <w:rFonts w:hint="eastAsia" w:ascii="Times New Roman" w:hAnsi="Times New Roman" w:eastAsia="仿宋_GB2312" w:cs="Times New Roman"/>
          <w:b/>
          <w:bCs w:val="0"/>
          <w:sz w:val="28"/>
          <w:szCs w:val="28"/>
          <w:lang w:val="en-US" w:eastAsia="zh-CN"/>
        </w:rPr>
        <w:t>3</w:t>
      </w:r>
      <w:r>
        <w:rPr>
          <w:rFonts w:hint="eastAsia" w:ascii="Times New Roman" w:hAnsi="Times New Roman" w:eastAsia="仿宋_GB2312" w:cs="Times New Roman"/>
          <w:b/>
          <w:bCs w:val="0"/>
          <w:sz w:val="28"/>
          <w:szCs w:val="28"/>
          <w:lang w:eastAsia="zh-CN"/>
        </w:rPr>
        <w:t>）排污</w:t>
      </w:r>
    </w:p>
    <w:p w14:paraId="4E7B1BE1">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厕所应设在生活用水的下游，并远离地上水域50m以外，还应经常用土覆盖排泄物。废水与污水的排放，应远离地表水域50m以外。</w:t>
      </w:r>
    </w:p>
    <w:p w14:paraId="1017DACD">
      <w:pPr>
        <w:pageBreakBefore w:val="0"/>
        <w:widowControl w:val="0"/>
        <w:kinsoku/>
        <w:wordWrap/>
        <w:overflowPunct/>
        <w:topLinePunct w:val="0"/>
        <w:bidi w:val="0"/>
        <w:spacing w:after="0" w:line="360" w:lineRule="auto"/>
        <w:ind w:firstLine="562" w:firstLineChars="200"/>
        <w:rPr>
          <w:rFonts w:hint="eastAsia" w:ascii="Times New Roman" w:hAnsi="Times New Roman" w:eastAsia="仿宋_GB2312" w:cs="Times New Roman"/>
          <w:b/>
          <w:bCs w:val="0"/>
          <w:sz w:val="28"/>
          <w:szCs w:val="28"/>
          <w:lang w:eastAsia="zh-CN"/>
        </w:rPr>
      </w:pPr>
      <w:r>
        <w:rPr>
          <w:rFonts w:hint="eastAsia" w:ascii="Times New Roman" w:hAnsi="Times New Roman" w:eastAsia="仿宋_GB2312" w:cs="Times New Roman"/>
          <w:b/>
          <w:bCs w:val="0"/>
          <w:sz w:val="28"/>
          <w:szCs w:val="28"/>
          <w:lang w:eastAsia="zh-CN"/>
        </w:rPr>
        <w:t>（</w:t>
      </w:r>
      <w:r>
        <w:rPr>
          <w:rFonts w:hint="eastAsia" w:ascii="Times New Roman" w:hAnsi="Times New Roman" w:eastAsia="仿宋_GB2312" w:cs="Times New Roman"/>
          <w:b/>
          <w:bCs w:val="0"/>
          <w:sz w:val="28"/>
          <w:szCs w:val="28"/>
          <w:lang w:val="en-US" w:eastAsia="zh-CN"/>
        </w:rPr>
        <w:t>4</w:t>
      </w:r>
      <w:r>
        <w:rPr>
          <w:rFonts w:hint="eastAsia" w:ascii="Times New Roman" w:hAnsi="Times New Roman" w:eastAsia="仿宋_GB2312" w:cs="Times New Roman"/>
          <w:b/>
          <w:bCs w:val="0"/>
          <w:sz w:val="28"/>
          <w:szCs w:val="28"/>
          <w:lang w:eastAsia="zh-CN"/>
        </w:rPr>
        <w:t>）垃圾处理</w:t>
      </w:r>
    </w:p>
    <w:p w14:paraId="0A606938">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1</w:t>
      </w:r>
      <w:r>
        <w:rPr>
          <w:rFonts w:hint="eastAsia" w:ascii="Times New Roman" w:hAnsi="Times New Roman" w:eastAsia="仿宋_GB2312" w:cs="Times New Roman"/>
          <w:bCs/>
          <w:sz w:val="28"/>
          <w:szCs w:val="28"/>
          <w:lang w:eastAsia="zh-CN"/>
        </w:rPr>
        <w:t>）生活垃圾应集中倒入垃圾坑内，垃圾坑应设置在生活用水下游，坑底高于地下水位，地表水不能流入或远离地上水域和居住场地50m以外的地段。</w:t>
      </w:r>
    </w:p>
    <w:p w14:paraId="329E94C4">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2</w:t>
      </w:r>
      <w:r>
        <w:rPr>
          <w:rFonts w:hint="eastAsia" w:ascii="Times New Roman" w:hAnsi="Times New Roman" w:eastAsia="仿宋_GB2312" w:cs="Times New Roman"/>
          <w:bCs/>
          <w:sz w:val="28"/>
          <w:szCs w:val="28"/>
          <w:lang w:eastAsia="zh-CN"/>
        </w:rPr>
        <w:t>）垃圾坑应经常用土覆盖</w:t>
      </w:r>
      <w:r>
        <w:rPr>
          <w:rFonts w:hint="eastAsia" w:ascii="Times New Roman" w:hAnsi="Times New Roman" w:eastAsia="仿宋_GB2312" w:cs="Times New Roman"/>
          <w:bCs/>
          <w:sz w:val="28"/>
          <w:szCs w:val="28"/>
          <w:lang w:val="en-US" w:eastAsia="zh-CN"/>
        </w:rPr>
        <w:t>.</w:t>
      </w:r>
    </w:p>
    <w:p w14:paraId="00025A94">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3</w:t>
      </w:r>
      <w:r>
        <w:rPr>
          <w:rFonts w:hint="eastAsia" w:ascii="Times New Roman" w:hAnsi="Times New Roman" w:eastAsia="仿宋_GB2312" w:cs="Times New Roman"/>
          <w:bCs/>
          <w:sz w:val="28"/>
          <w:szCs w:val="28"/>
          <w:lang w:eastAsia="zh-CN"/>
        </w:rPr>
        <w:t>）难以分解的废弃物，如塑料等，应集中转移到专门的处理场所。</w:t>
      </w:r>
    </w:p>
    <w:p w14:paraId="5D89F773">
      <w:pPr>
        <w:pageBreakBefore w:val="0"/>
        <w:widowControl w:val="0"/>
        <w:kinsoku/>
        <w:wordWrap/>
        <w:overflowPunct/>
        <w:topLinePunct w:val="0"/>
        <w:bidi w:val="0"/>
        <w:spacing w:after="0" w:line="360" w:lineRule="auto"/>
        <w:ind w:firstLine="562" w:firstLineChars="200"/>
        <w:rPr>
          <w:rFonts w:hint="eastAsia" w:ascii="Times New Roman" w:hAnsi="Times New Roman" w:eastAsia="仿宋_GB2312" w:cs="Times New Roman"/>
          <w:b/>
          <w:bCs w:val="0"/>
          <w:sz w:val="28"/>
          <w:szCs w:val="28"/>
          <w:lang w:eastAsia="zh-CN"/>
        </w:rPr>
      </w:pPr>
      <w:r>
        <w:rPr>
          <w:rFonts w:hint="eastAsia" w:ascii="Times New Roman" w:hAnsi="Times New Roman" w:eastAsia="仿宋_GB2312" w:cs="Times New Roman"/>
          <w:b/>
          <w:bCs w:val="0"/>
          <w:sz w:val="28"/>
          <w:szCs w:val="28"/>
          <w:lang w:eastAsia="zh-CN"/>
        </w:rPr>
        <w:t>（</w:t>
      </w:r>
      <w:r>
        <w:rPr>
          <w:rFonts w:hint="eastAsia" w:ascii="Times New Roman" w:hAnsi="Times New Roman" w:eastAsia="仿宋_GB2312" w:cs="Times New Roman"/>
          <w:b/>
          <w:bCs w:val="0"/>
          <w:sz w:val="28"/>
          <w:szCs w:val="28"/>
          <w:lang w:val="en-US" w:eastAsia="zh-CN"/>
        </w:rPr>
        <w:t>5</w:t>
      </w:r>
      <w:r>
        <w:rPr>
          <w:rFonts w:hint="eastAsia" w:ascii="Times New Roman" w:hAnsi="Times New Roman" w:eastAsia="仿宋_GB2312" w:cs="Times New Roman"/>
          <w:b/>
          <w:bCs w:val="0"/>
          <w:sz w:val="28"/>
          <w:szCs w:val="28"/>
          <w:lang w:eastAsia="zh-CN"/>
        </w:rPr>
        <w:t>）有毒、有害物品管理</w:t>
      </w:r>
    </w:p>
    <w:p w14:paraId="007B46D7">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对有毒、有害物品应建立严格的控制、监督的管理制度，不应随意扩大使用范围，增加剂量，更不应流失。</w:t>
      </w:r>
    </w:p>
    <w:p w14:paraId="494E646C">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1</w:t>
      </w:r>
      <w:r>
        <w:rPr>
          <w:rFonts w:hint="eastAsia" w:ascii="Times New Roman" w:hAnsi="Times New Roman" w:eastAsia="仿宋_GB2312" w:cs="Times New Roman"/>
          <w:bCs/>
          <w:sz w:val="28"/>
          <w:szCs w:val="28"/>
          <w:lang w:eastAsia="zh-CN"/>
        </w:rPr>
        <w:t>）有毒、有害物品应有单独、封闭的存放地点，并设置特定的警示标志。</w:t>
      </w:r>
    </w:p>
    <w:p w14:paraId="0C8BCDFC">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2</w:t>
      </w:r>
      <w:r>
        <w:rPr>
          <w:rFonts w:hint="eastAsia" w:ascii="Times New Roman" w:hAnsi="Times New Roman" w:eastAsia="仿宋_GB2312" w:cs="Times New Roman"/>
          <w:bCs/>
          <w:sz w:val="28"/>
          <w:szCs w:val="28"/>
          <w:lang w:eastAsia="zh-CN"/>
        </w:rPr>
        <w:t>）存放地点应远离生活区域和地上水域100m以外，放置于生活用水下游。</w:t>
      </w:r>
    </w:p>
    <w:p w14:paraId="14C88ADD">
      <w:pPr>
        <w:pageBreakBefore w:val="0"/>
        <w:widowControl w:val="0"/>
        <w:kinsoku/>
        <w:wordWrap/>
        <w:overflowPunct/>
        <w:topLinePunct w:val="0"/>
        <w:bidi w:val="0"/>
        <w:spacing w:after="0" w:line="360" w:lineRule="auto"/>
        <w:ind w:firstLine="560" w:firstLineChars="200"/>
        <w:rPr>
          <w:rFonts w:hint="default" w:ascii="Times New Roman" w:hAnsi="Times New Roman" w:eastAsia="仿宋_GB2312" w:cs="Times New Roman"/>
          <w:bCs/>
          <w:sz w:val="28"/>
          <w:szCs w:val="28"/>
          <w:lang w:val="en-US" w:eastAsia="zh-CN"/>
        </w:rPr>
      </w:pPr>
      <w:r>
        <w:rPr>
          <w:rFonts w:hint="eastAsia" w:ascii="Times New Roman" w:hAnsi="Times New Roman" w:eastAsia="仿宋_GB2312" w:cs="Times New Roman"/>
          <w:bCs/>
          <w:sz w:val="28"/>
          <w:szCs w:val="28"/>
          <w:lang w:val="en-US" w:eastAsia="zh-CN"/>
        </w:rPr>
        <w:t>3</w:t>
      </w:r>
      <w:r>
        <w:rPr>
          <w:rFonts w:hint="eastAsia" w:ascii="Times New Roman" w:hAnsi="Times New Roman" w:eastAsia="仿宋_GB2312" w:cs="Times New Roman"/>
          <w:bCs/>
          <w:sz w:val="28"/>
          <w:szCs w:val="28"/>
          <w:lang w:eastAsia="zh-CN"/>
        </w:rPr>
        <w:t>）有毒、有害物品应有专门的容器保存，不应泄漏，避免对人身或野生动植物造成危害</w:t>
      </w:r>
      <w:r>
        <w:rPr>
          <w:rFonts w:hint="eastAsia" w:ascii="Times New Roman" w:hAnsi="Times New Roman" w:eastAsia="仿宋_GB2312" w:cs="Times New Roman"/>
          <w:bCs/>
          <w:sz w:val="28"/>
          <w:szCs w:val="28"/>
          <w:lang w:val="en-US" w:eastAsia="zh-CN"/>
        </w:rPr>
        <w:t>。</w:t>
      </w:r>
    </w:p>
    <w:p w14:paraId="60739969">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4</w:t>
      </w:r>
      <w:r>
        <w:rPr>
          <w:rFonts w:hint="eastAsia" w:ascii="Times New Roman" w:hAnsi="Times New Roman" w:eastAsia="仿宋_GB2312" w:cs="Times New Roman"/>
          <w:bCs/>
          <w:sz w:val="28"/>
          <w:szCs w:val="28"/>
          <w:lang w:eastAsia="zh-CN"/>
        </w:rPr>
        <w:t>）有毒、有害物品的残留物应集中转移至专门处理区域。</w:t>
      </w:r>
    </w:p>
    <w:p w14:paraId="22C64404">
      <w:pPr>
        <w:pageBreakBefore w:val="0"/>
        <w:widowControl w:val="0"/>
        <w:kinsoku/>
        <w:wordWrap/>
        <w:overflowPunct/>
        <w:topLinePunct w:val="0"/>
        <w:bidi w:val="0"/>
        <w:spacing w:after="0" w:line="360" w:lineRule="auto"/>
        <w:ind w:firstLine="560" w:firstLineChars="200"/>
        <w:rPr>
          <w:rFonts w:hint="eastAsia" w:ascii="Times New Roman" w:hAnsi="Times New Roman" w:eastAsia="仿宋_GB2312" w:cs="Times New Roman"/>
          <w:bCs/>
          <w:sz w:val="28"/>
          <w:szCs w:val="28"/>
          <w:lang w:eastAsia="zh-CN"/>
        </w:rPr>
      </w:pPr>
    </w:p>
    <w:p w14:paraId="32C89883">
      <w:pPr>
        <w:pStyle w:val="7"/>
        <w:pageBreakBefore w:val="0"/>
        <w:widowControl w:val="0"/>
        <w:kinsoku/>
        <w:wordWrap/>
        <w:overflowPunct/>
        <w:topLinePunct w:val="0"/>
        <w:bidi w:val="0"/>
        <w:ind w:firstLine="0" w:firstLineChars="0"/>
        <w:rPr>
          <w:rFonts w:hint="eastAsia"/>
          <w:lang w:val="en-US" w:eastAsia="zh-CN"/>
        </w:rPr>
      </w:pPr>
    </w:p>
    <w:p w14:paraId="76078294">
      <w:pPr>
        <w:pageBreakBefore w:val="0"/>
        <w:widowControl w:val="0"/>
        <w:kinsoku/>
        <w:wordWrap/>
        <w:overflowPunct/>
        <w:topLinePunct w:val="0"/>
        <w:bidi w:val="0"/>
        <w:snapToGrid/>
        <w:rPr>
          <w:rFonts w:hint="eastAsia"/>
        </w:rPr>
      </w:pPr>
      <w:r>
        <w:rPr>
          <w:rFonts w:hint="eastAsia"/>
        </w:rPr>
        <w:br w:type="page"/>
      </w:r>
    </w:p>
    <w:p w14:paraId="172C376E">
      <w:pPr>
        <w:pStyle w:val="2"/>
        <w:pageBreakBefore w:val="0"/>
        <w:widowControl w:val="0"/>
        <w:kinsoku/>
        <w:wordWrap/>
        <w:overflowPunct/>
        <w:topLinePunct w:val="0"/>
        <w:bidi w:val="0"/>
        <w:snapToGrid/>
        <w:spacing w:before="326" w:beforeLines="100" w:after="326" w:afterLines="100" w:line="360" w:lineRule="auto"/>
        <w:ind w:right="0" w:rightChars="0" w:firstLine="0" w:firstLineChars="0"/>
        <w:jc w:val="center"/>
        <w:outlineLvl w:val="9"/>
        <w:rPr>
          <w:rFonts w:hint="eastAsia" w:ascii="黑体" w:hAnsi="黑体" w:eastAsia="黑体" w:cs="Times New Roman"/>
          <w:bCs/>
          <w:sz w:val="36"/>
          <w:szCs w:val="36"/>
          <w:lang w:val="en-US" w:eastAsia="zh-CN"/>
        </w:rPr>
        <w:sectPr>
          <w:footerReference r:id="rId18"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270190F9">
      <w:pPr>
        <w:pStyle w:val="2"/>
        <w:pageBreakBefore w:val="0"/>
        <w:widowControl w:val="0"/>
        <w:kinsoku/>
        <w:wordWrap/>
        <w:overflowPunct/>
        <w:topLinePunct w:val="0"/>
        <w:bidi w:val="0"/>
        <w:snapToGrid/>
        <w:spacing w:before="326" w:beforeLines="100" w:after="326" w:afterLines="100" w:line="360" w:lineRule="auto"/>
        <w:ind w:right="0" w:rightChars="0" w:firstLine="0" w:firstLineChars="0"/>
        <w:jc w:val="center"/>
        <w:rPr>
          <w:rFonts w:hint="default" w:ascii="黑体" w:hAnsi="黑体" w:eastAsia="黑体" w:cs="Times New Roman"/>
          <w:b/>
          <w:bCs w:val="0"/>
          <w:sz w:val="36"/>
          <w:szCs w:val="36"/>
          <w:lang w:val="en-US" w:eastAsia="zh-CN"/>
        </w:rPr>
      </w:pPr>
      <w:bookmarkStart w:id="532" w:name="_Toc16712"/>
      <w:bookmarkStart w:id="533" w:name="_Toc15125"/>
      <w:bookmarkStart w:id="534" w:name="_Toc6525"/>
      <w:r>
        <w:rPr>
          <w:rFonts w:hint="eastAsia" w:ascii="黑体" w:hAnsi="黑体" w:eastAsia="黑体" w:cs="Times New Roman"/>
          <w:b/>
          <w:bCs w:val="0"/>
          <w:sz w:val="36"/>
          <w:szCs w:val="36"/>
          <w:lang w:val="en-US" w:eastAsia="zh-CN"/>
        </w:rPr>
        <w:t>第</w:t>
      </w:r>
      <w:r>
        <w:rPr>
          <w:rFonts w:hint="eastAsia" w:cs="Times New Roman"/>
          <w:b/>
          <w:bCs w:val="0"/>
          <w:sz w:val="36"/>
          <w:szCs w:val="36"/>
          <w:lang w:val="en-US" w:eastAsia="zh-CN"/>
        </w:rPr>
        <w:t>七</w:t>
      </w:r>
      <w:r>
        <w:rPr>
          <w:rFonts w:hint="eastAsia" w:ascii="黑体" w:hAnsi="黑体" w:eastAsia="黑体" w:cs="Times New Roman"/>
          <w:b/>
          <w:bCs w:val="0"/>
          <w:sz w:val="36"/>
          <w:szCs w:val="36"/>
          <w:lang w:val="en-US" w:eastAsia="zh-CN"/>
        </w:rPr>
        <w:t>章 环境保护</w:t>
      </w:r>
      <w:r>
        <w:rPr>
          <w:rFonts w:hint="eastAsia" w:cs="Times New Roman"/>
          <w:b/>
          <w:bCs w:val="0"/>
          <w:sz w:val="36"/>
          <w:szCs w:val="36"/>
          <w:lang w:val="en-US" w:eastAsia="zh-CN"/>
        </w:rPr>
        <w:t>和节能节水</w:t>
      </w:r>
      <w:bookmarkEnd w:id="532"/>
      <w:bookmarkEnd w:id="533"/>
      <w:bookmarkEnd w:id="534"/>
      <w:r>
        <w:rPr>
          <w:rFonts w:hint="eastAsia" w:cs="Times New Roman"/>
          <w:b/>
          <w:bCs w:val="0"/>
          <w:sz w:val="36"/>
          <w:szCs w:val="36"/>
          <w:lang w:val="en-US" w:eastAsia="zh-CN"/>
        </w:rPr>
        <w:t>方案</w:t>
      </w:r>
    </w:p>
    <w:p w14:paraId="57F7B3F3">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535" w:name="_Toc154"/>
      <w:bookmarkStart w:id="536" w:name="_Toc31664"/>
      <w:bookmarkStart w:id="537" w:name="_Toc32208"/>
      <w:r>
        <w:rPr>
          <w:rFonts w:hint="eastAsia" w:ascii="黑体" w:hAnsi="黑体" w:cs="Times New Roman"/>
          <w:bCs w:val="0"/>
          <w:kern w:val="0"/>
          <w:sz w:val="32"/>
          <w:szCs w:val="32"/>
          <w:lang w:val="en-US" w:eastAsia="zh-CN"/>
        </w:rPr>
        <w:t>7.1 环境保护设计</w:t>
      </w:r>
      <w:bookmarkEnd w:id="535"/>
      <w:bookmarkEnd w:id="536"/>
      <w:bookmarkEnd w:id="537"/>
    </w:p>
    <w:p w14:paraId="06FDF5C7">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default"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7.1.1依据</w:t>
      </w:r>
    </w:p>
    <w:p w14:paraId="1E0EC98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（1）《中华人民共和国环境保护法》；</w:t>
      </w:r>
    </w:p>
    <w:p w14:paraId="2389718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（2）《中华人民共和国水污染防治法》；</w:t>
      </w:r>
    </w:p>
    <w:p w14:paraId="0D483C7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（3）《中华人民共和国森林法》；</w:t>
      </w:r>
    </w:p>
    <w:p w14:paraId="061CE7F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（4）《中华人民共和国水土保持法》；</w:t>
      </w:r>
    </w:p>
    <w:p w14:paraId="51819B6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（5）《中华人民共和国环境影响评价法》；</w:t>
      </w:r>
    </w:p>
    <w:p w14:paraId="1E5AC00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（6）《中华人民共和国水土保持法实施条例》；</w:t>
      </w:r>
    </w:p>
    <w:p w14:paraId="7969544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（7）《建设项目环境保护管理条例》。</w:t>
      </w:r>
    </w:p>
    <w:p w14:paraId="794E7BF6">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default"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7.1.2环境保护措施</w:t>
      </w:r>
    </w:p>
    <w:p w14:paraId="74310B1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在项目实施中，应遵守《环境保护法》《水污染防治法》《森林法》《水土保持法》等法规，积极采取各种环境保护措施，减少施工作业水土流失，尤其要注重保护项目区内水库及河流的水质安全。</w:t>
      </w:r>
    </w:p>
    <w:p w14:paraId="3469535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（1）在干旱、大风条件下施工要采取防尘措施，避免沙石飞扬和水土流失。</w:t>
      </w:r>
    </w:p>
    <w:p w14:paraId="68572F9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（2）在造林地整地时，保留原有林木和原生植被（灌木与草本），重视对林内原生植物、古树名木、重点野生动物栖息地的保护。</w:t>
      </w:r>
    </w:p>
    <w:p w14:paraId="4273535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造林整地作业必须沿等高线走向进行；急险坡地采用破土面积较小的块状整地方式，以减少施工造成的水土流失；油茶林抚育采用块状扩穴、松土方式，尽量保留地表植被，并将割除的杂草留于原地；禁止大范围樵采林地植被，以保证施工作业不造成新的水土流失。</w:t>
      </w:r>
    </w:p>
    <w:p w14:paraId="7DC07D7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（4）合理施肥。为避免影响周边水源水质，除整地时适当施用基肥外，不采取抚育追肥措施。</w:t>
      </w:r>
    </w:p>
    <w:p w14:paraId="5C12A72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（5）科学进行病虫害防治。原则上不进行病虫害化学防治。病虫害严重时，应使用高效、广谱、低毒、低残留的化学农药，保证人畜安全，避免造成水源地污染。</w:t>
      </w:r>
    </w:p>
    <w:p w14:paraId="7BE1064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（6）要及时清理施工期间的生产生活垃圾，以保证不造成新的环境污染。</w:t>
      </w:r>
    </w:p>
    <w:p w14:paraId="4397195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（7）避免大面积陡坡施肥，以防肥料流失，水源地施肥要施有机肥，加强隔离带、缓冲带保护，将易造成水源污染的废弃物移除。</w:t>
      </w:r>
    </w:p>
    <w:p w14:paraId="7673615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8）施工过程中，备用的燃料、油料及其它化学制剂应存放固定场地，作业机械维修场地和排放无毒废液远离水体，无毒无害废弃物应集中或深埋地下，有害废弃物应进行无害化处理，或集中转移至有的处理区域，机械设备应避免燃料、油料溢出。</w:t>
      </w:r>
    </w:p>
    <w:p w14:paraId="34208ADF">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zh-TW" w:eastAsia="zh-CN"/>
        </w:rPr>
      </w:pPr>
      <w:r>
        <w:rPr>
          <w:rFonts w:hint="eastAsia" w:ascii="楷体_GB2312" w:hAnsi="宋体" w:eastAsia="楷体_GB2312" w:cs="宋体"/>
          <w:b/>
          <w:bCs/>
          <w:kern w:val="0"/>
          <w:sz w:val="30"/>
          <w:szCs w:val="30"/>
          <w:lang w:val="en-US" w:eastAsia="zh-CN"/>
        </w:rPr>
        <w:t>7.1.3水土保持设计</w:t>
      </w:r>
    </w:p>
    <w:p w14:paraId="50867201">
      <w:pPr>
        <w:pageBreakBefore w:val="0"/>
        <w:widowControl w:val="0"/>
        <w:numPr>
          <w:ilvl w:val="0"/>
          <w:numId w:val="0"/>
        </w:numPr>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sectPr>
          <w:headerReference r:id="rId19" w:type="default"/>
          <w:footerReference r:id="rId20"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Times New Roman" w:hAnsi="Times New Roman" w:eastAsia="仿宋_GB2312" w:cs="Times New Roman"/>
          <w:bCs/>
          <w:kern w:val="0"/>
          <w:sz w:val="28"/>
          <w:szCs w:val="28"/>
          <w:lang w:val="en-US" w:eastAsia="zh-CN" w:bidi="ar-SA"/>
        </w:rPr>
        <w:t>（1）</w:t>
      </w:r>
      <w:r>
        <w:rPr>
          <w:rFonts w:hint="eastAsia" w:ascii="Times New Roman" w:hAnsi="Times New Roman" w:eastAsia="仿宋_GB2312" w:cs="Times New Roman"/>
          <w:bCs/>
          <w:kern w:val="0"/>
          <w:sz w:val="28"/>
          <w:szCs w:val="28"/>
          <w:lang w:val="en-US" w:eastAsia="zh-CN"/>
        </w:rPr>
        <w:t>营造林活动必须严格执行《中华人民共和国环境保护法》《中华人民共和国水土保持法实施条例》和《造林技术规程》（GB/T15776-2023）《油茶》（LY/T3355-2023）《低效林改造技术规程》（LY/T 1690-2017）《农林开发活动水土流失防治导则（试行）》</w:t>
      </w:r>
    </w:p>
    <w:p w14:paraId="021F19A6">
      <w:pPr>
        <w:pageBreakBefore w:val="0"/>
        <w:widowControl w:val="0"/>
        <w:numPr>
          <w:ilvl w:val="0"/>
          <w:numId w:val="0"/>
        </w:numPr>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等有关规定要求，坚持预防为主、保护优先、因地制宜、注重实效、经济合理、群众参与的原则，鼓励采用新技术、新工艺和新材料。</w:t>
      </w:r>
    </w:p>
    <w:p w14:paraId="6A1AB0FC">
      <w:pPr>
        <w:pageBreakBefore w:val="0"/>
        <w:widowControl w:val="0"/>
        <w:numPr>
          <w:ilvl w:val="0"/>
          <w:numId w:val="0"/>
        </w:numPr>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zh-TW" w:eastAsia="zh-CN" w:bidi="ar-SA"/>
        </w:rPr>
        <w:t>（2）</w:t>
      </w:r>
      <w:r>
        <w:rPr>
          <w:rFonts w:hint="eastAsia" w:ascii="Times New Roman" w:hAnsi="Times New Roman" w:eastAsia="仿宋_GB2312" w:cs="Times New Roman"/>
          <w:bCs/>
          <w:kern w:val="0"/>
          <w:sz w:val="28"/>
          <w:szCs w:val="28"/>
          <w:lang w:val="en-US" w:eastAsia="zh-CN"/>
        </w:rPr>
        <w:t>严格按照水土保持有关要求，采取合理的作业方式进行施工，控制活动边界，减少对原地貌、地表植被的扰动和损毁。</w:t>
      </w:r>
    </w:p>
    <w:p w14:paraId="55BEB9C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（3）对开挖、填筑区域内的表土资源应进行剥离、保存和利用。开挖边坡坡顶、坡脚合理设置截（排）水措施，并与自然沟道顺接；填方区域按“先拦后填”的方式设置拦挡措施，避免顺坡溜渣。</w:t>
      </w:r>
    </w:p>
    <w:p w14:paraId="10DC1000">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4）采用块状、带状等局部整地方式，避免全垦和顺坡开垦，减少对原生植被的破坏，山顶保留原生植被涵养水源，坑（带）间和山脚适当保留原生植被滞留泥沙。营造林过程中通过保留水保带、修截水沟、在苗木根部反坡堆土等方式拦截雨水以提高苗木成活率，减少水土流失。</w:t>
      </w:r>
    </w:p>
    <w:p w14:paraId="629F697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（5）</w:t>
      </w:r>
      <w:r>
        <w:rPr>
          <w:rFonts w:hint="eastAsia" w:ascii="Times New Roman" w:hAnsi="Times New Roman" w:eastAsia="仿宋_GB2312" w:cs="Times New Roman"/>
          <w:bCs/>
          <w:kern w:val="0"/>
          <w:sz w:val="28"/>
          <w:szCs w:val="28"/>
          <w:lang w:val="zh-TW" w:eastAsia="zh-CN"/>
        </w:rPr>
        <w:t>整地时先剥离表土单独存放，并及时回填树坑底部。推广应用前埂后沟、梯壁植草、秸秆覆盖等保水保土措施，不对田面、埂坎、梯壁上植被进行全面清除。陡坡地采用人工或小型机械方式整地。</w:t>
      </w:r>
    </w:p>
    <w:p w14:paraId="3854FBD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（6）整地后及时将铲除的灌木草本覆盖地表或通过人工措施培育林下天然植被形成乔灌复层林，避免表土裸露，增强林地保持水土和涵养水源的功能。</w:t>
      </w:r>
    </w:p>
    <w:p w14:paraId="07F4C55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（7）林木的采伐尽可能地保留地表植被，并将剩余物叶、皮和树根保留在林地。除进行抚育管理外，不允许收集林地内的枯枝落叶和草皮灰。</w:t>
      </w:r>
    </w:p>
    <w:p w14:paraId="0721E77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8）田间道路、生产道、集材道、防火通道等要与自然地形相协调，充分利用现有道路，避免深挖高填，做到挖填平衡，并与施工道路永临结合，山区道路采取“先拦后填”等措施防止顺坡溜渣，做好路基边坡防护和路基路面排水措施。</w:t>
      </w:r>
    </w:p>
    <w:p w14:paraId="1E98B25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（9）施工结束，临时施工场地要及时进行平整，采取措施恢复原有土地利用功能。</w:t>
      </w:r>
    </w:p>
    <w:p w14:paraId="452BD22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（10）严格执行采伐作业规范，根据项目规划，采用小块状、交替皆伐方式采伐，控制大面积皆伐。</w:t>
      </w:r>
    </w:p>
    <w:p w14:paraId="265AE1C5">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default"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7.1.4生物多样性保护设计</w:t>
      </w:r>
    </w:p>
    <w:p w14:paraId="619D0DF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（1）野生动物保护</w:t>
      </w:r>
    </w:p>
    <w:p w14:paraId="052C175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树冠上有鸟巢的林木，应该在实施中保留，做不采伐标记；树干上有野生动物巢穴、隐蔽地的林木，应该在实施中保留，做不采伐标记；保护野生动物的栖息地和动物廊道。实施中考虑作业设计次序和作业区的连接与隔离，以便在作业时野生动物有躲避场所。</w:t>
      </w:r>
    </w:p>
    <w:p w14:paraId="43BFAA3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（2）野生植物保护</w:t>
      </w:r>
    </w:p>
    <w:p w14:paraId="3B96BD1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国家或地方重点保护树种，或列入珍稀濒危植物名录树种，应该在实施中保留，做不采伐标记；具有观赏和食用药材价值植物，应该在实施中保留，做不采伐标记；作业时要采取必要措施保护林下珍贵树种幼苗幼树；优先选择当地乡土珍稀树种，减少外来物种引进。</w:t>
      </w:r>
    </w:p>
    <w:p w14:paraId="389B535C">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7.1.5工程保护措施</w:t>
      </w:r>
    </w:p>
    <w:p w14:paraId="6D0A2C7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（1）</w:t>
      </w:r>
      <w:r>
        <w:rPr>
          <w:rFonts w:hint="eastAsia" w:ascii="Times New Roman" w:hAnsi="Times New Roman" w:eastAsia="仿宋_GB2312" w:cs="Times New Roman"/>
          <w:bCs/>
          <w:kern w:val="0"/>
          <w:sz w:val="28"/>
          <w:szCs w:val="28"/>
          <w:lang w:val="zh-TW" w:eastAsia="zh-CN"/>
        </w:rPr>
        <w:t>营造林工程措施</w:t>
      </w:r>
    </w:p>
    <w:p w14:paraId="5B53BF0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①</w:t>
      </w:r>
      <w:r>
        <w:rPr>
          <w:rFonts w:hint="eastAsia" w:ascii="Times New Roman" w:hAnsi="Times New Roman" w:eastAsia="仿宋_GB2312" w:cs="Times New Roman"/>
          <w:bCs/>
          <w:kern w:val="0"/>
          <w:sz w:val="28"/>
          <w:szCs w:val="28"/>
          <w:lang w:val="zh-TW" w:eastAsia="zh-CN"/>
        </w:rPr>
        <w:t>造林地块之间，造林地四周及林缘等地带，</w:t>
      </w:r>
      <w:r>
        <w:rPr>
          <w:rFonts w:hint="eastAsia" w:ascii="Times New Roman" w:hAnsi="Times New Roman" w:eastAsia="仿宋_GB2312" w:cs="Times New Roman"/>
          <w:bCs/>
          <w:kern w:val="0"/>
          <w:sz w:val="28"/>
          <w:szCs w:val="28"/>
          <w:lang w:val="en-US" w:eastAsia="zh-CN"/>
        </w:rPr>
        <w:t>适当</w:t>
      </w:r>
      <w:r>
        <w:rPr>
          <w:rFonts w:hint="eastAsia" w:ascii="Times New Roman" w:hAnsi="Times New Roman" w:eastAsia="仿宋_GB2312" w:cs="Times New Roman"/>
          <w:bCs/>
          <w:kern w:val="0"/>
          <w:sz w:val="28"/>
          <w:szCs w:val="28"/>
          <w:lang w:val="zh-TW" w:eastAsia="zh-CN"/>
        </w:rPr>
        <w:t>保留带间或块状原有植被，形成多样的森林植被和森林生态系统；</w:t>
      </w:r>
    </w:p>
    <w:p w14:paraId="07976A7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②</w:t>
      </w:r>
      <w:r>
        <w:rPr>
          <w:rFonts w:hint="eastAsia" w:ascii="Times New Roman" w:hAnsi="Times New Roman" w:eastAsia="仿宋_GB2312" w:cs="Times New Roman"/>
          <w:bCs/>
          <w:kern w:val="0"/>
          <w:sz w:val="28"/>
          <w:szCs w:val="28"/>
          <w:lang w:val="zh-TW" w:eastAsia="zh-CN"/>
        </w:rPr>
        <w:t>合理区划小班，适当控制造林面积，一个小班的面积不宜超过 300亩；连片人工林面积不宜超过500亩；</w:t>
      </w:r>
      <w:r>
        <w:rPr>
          <w:rFonts w:hint="eastAsia" w:ascii="Times New Roman" w:hAnsi="Times New Roman" w:eastAsia="仿宋_GB2312" w:cs="Times New Roman"/>
          <w:bCs/>
          <w:kern w:val="0"/>
          <w:sz w:val="28"/>
          <w:szCs w:val="28"/>
          <w:lang w:val="en-US" w:eastAsia="zh-CN"/>
        </w:rPr>
        <w:t>一次性皆伐不宜超过300亩</w:t>
      </w:r>
      <w:r>
        <w:rPr>
          <w:rFonts w:hint="eastAsia" w:ascii="Times New Roman" w:hAnsi="Times New Roman" w:eastAsia="仿宋_GB2312" w:cs="Times New Roman"/>
          <w:bCs/>
          <w:kern w:val="0"/>
          <w:sz w:val="28"/>
          <w:szCs w:val="28"/>
          <w:lang w:val="zh-TW" w:eastAsia="zh-CN"/>
        </w:rPr>
        <w:t>；</w:t>
      </w:r>
    </w:p>
    <w:p w14:paraId="79CB137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③</w:t>
      </w:r>
      <w:r>
        <w:rPr>
          <w:rFonts w:hint="eastAsia" w:ascii="Times New Roman" w:hAnsi="Times New Roman" w:eastAsia="仿宋_GB2312" w:cs="Times New Roman"/>
          <w:bCs/>
          <w:kern w:val="0"/>
          <w:sz w:val="28"/>
          <w:szCs w:val="28"/>
          <w:lang w:val="zh-TW" w:eastAsia="zh-CN"/>
        </w:rPr>
        <w:t>对于新造林地当年成活率低于85%的，按初植密度需进行补植，造林三年后保存率低于80%的需进行补植。补植苗木树种、年龄、规格应与原造林地一致，以保证造林成活率。</w:t>
      </w:r>
    </w:p>
    <w:p w14:paraId="1FBEC1C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（2）</w:t>
      </w:r>
      <w:r>
        <w:rPr>
          <w:rFonts w:hint="eastAsia" w:ascii="Times New Roman" w:hAnsi="Times New Roman" w:eastAsia="仿宋_GB2312" w:cs="Times New Roman"/>
          <w:bCs/>
          <w:kern w:val="0"/>
          <w:sz w:val="28"/>
          <w:szCs w:val="28"/>
          <w:lang w:val="zh-TW" w:eastAsia="zh-CN"/>
        </w:rPr>
        <w:t>森林防火措施</w:t>
      </w:r>
    </w:p>
    <w:p w14:paraId="41BD340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①</w:t>
      </w:r>
      <w:r>
        <w:rPr>
          <w:rFonts w:hint="eastAsia" w:ascii="Times New Roman" w:hAnsi="Times New Roman" w:eastAsia="仿宋_GB2312" w:cs="Times New Roman"/>
          <w:bCs/>
          <w:kern w:val="0"/>
          <w:sz w:val="28"/>
          <w:szCs w:val="28"/>
          <w:lang w:val="zh-TW" w:eastAsia="zh-CN"/>
        </w:rPr>
        <w:t>按照规定划分防火责任区、明确防火责任人，配备相应设施和设备，逐级建立承诺制，落实好森林防火责任制；</w:t>
      </w:r>
    </w:p>
    <w:p w14:paraId="088D631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②项目</w:t>
      </w:r>
      <w:r>
        <w:rPr>
          <w:rFonts w:hint="eastAsia" w:ascii="Times New Roman" w:hAnsi="Times New Roman" w:eastAsia="仿宋_GB2312" w:cs="Times New Roman"/>
          <w:bCs/>
          <w:kern w:val="0"/>
          <w:sz w:val="28"/>
          <w:szCs w:val="28"/>
          <w:lang w:val="zh-TW" w:eastAsia="zh-CN"/>
        </w:rPr>
        <w:t>经营单位配备兼职或者专职护林员负责巡护森林及管理野外用火，及时报告火情，协助调查森林火灾案件；</w:t>
      </w:r>
    </w:p>
    <w:p w14:paraId="7DF2CB7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③</w:t>
      </w:r>
      <w:r>
        <w:rPr>
          <w:rFonts w:hint="eastAsia" w:ascii="Times New Roman" w:hAnsi="Times New Roman" w:eastAsia="仿宋_GB2312" w:cs="Times New Roman"/>
          <w:bCs/>
          <w:kern w:val="0"/>
          <w:sz w:val="28"/>
          <w:szCs w:val="28"/>
          <w:lang w:val="zh-TW" w:eastAsia="zh-CN"/>
        </w:rPr>
        <w:t>做好森林防火防范措施，加强场地内可燃物管理，规范施工作业。对起火源比如电线接头、配电箱、吸烟区进行严查严控。</w:t>
      </w:r>
    </w:p>
    <w:p w14:paraId="31518F2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（3）</w:t>
      </w:r>
      <w:r>
        <w:rPr>
          <w:rFonts w:hint="eastAsia" w:ascii="Times New Roman" w:hAnsi="Times New Roman" w:eastAsia="仿宋_GB2312" w:cs="Times New Roman"/>
          <w:bCs/>
          <w:kern w:val="0"/>
          <w:sz w:val="28"/>
          <w:szCs w:val="28"/>
          <w:lang w:val="zh-TW" w:eastAsia="zh-CN"/>
        </w:rPr>
        <w:t>施肥措施</w:t>
      </w:r>
    </w:p>
    <w:p w14:paraId="644B420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①</w:t>
      </w:r>
      <w:r>
        <w:rPr>
          <w:rFonts w:hint="eastAsia" w:ascii="Times New Roman" w:hAnsi="Times New Roman" w:eastAsia="仿宋_GB2312" w:cs="Times New Roman"/>
          <w:bCs/>
          <w:kern w:val="0"/>
          <w:sz w:val="28"/>
          <w:szCs w:val="28"/>
          <w:lang w:val="zh-TW" w:eastAsia="zh-CN"/>
        </w:rPr>
        <w:t>严格控制肥料质量，杜绝使用劣质肥料。</w:t>
      </w:r>
    </w:p>
    <w:p w14:paraId="55BF53A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②</w:t>
      </w:r>
      <w:r>
        <w:rPr>
          <w:rFonts w:hint="eastAsia" w:ascii="Times New Roman" w:hAnsi="Times New Roman" w:eastAsia="仿宋_GB2312" w:cs="Times New Roman"/>
          <w:bCs/>
          <w:kern w:val="0"/>
          <w:sz w:val="28"/>
          <w:szCs w:val="28"/>
          <w:lang w:val="zh-TW" w:eastAsia="zh-CN"/>
        </w:rPr>
        <w:t>严格按照设计的施肥量进行施肥。</w:t>
      </w:r>
    </w:p>
    <w:p w14:paraId="4E2793B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en-US" w:eastAsia="zh-CN"/>
        </w:rPr>
        <w:t>③</w:t>
      </w:r>
      <w:r>
        <w:rPr>
          <w:rFonts w:hint="eastAsia" w:ascii="Times New Roman" w:hAnsi="Times New Roman" w:eastAsia="仿宋_GB2312" w:cs="Times New Roman"/>
          <w:bCs/>
          <w:kern w:val="0"/>
          <w:sz w:val="28"/>
          <w:szCs w:val="28"/>
          <w:lang w:val="zh-TW" w:eastAsia="zh-CN"/>
        </w:rPr>
        <w:t>科学施肥，不能施于地表、植穴的表层或与种苗根系直接接触，提高肥效。</w:t>
      </w:r>
    </w:p>
    <w:p w14:paraId="3F0B021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④</w:t>
      </w:r>
      <w:r>
        <w:rPr>
          <w:rFonts w:hint="eastAsia" w:ascii="Times New Roman" w:hAnsi="Times New Roman" w:eastAsia="仿宋_GB2312" w:cs="Times New Roman"/>
          <w:bCs/>
          <w:kern w:val="0"/>
          <w:sz w:val="28"/>
          <w:szCs w:val="28"/>
          <w:lang w:val="zh-TW" w:eastAsia="zh-CN"/>
        </w:rPr>
        <w:t>尽可能少施用化肥，多使用有机肥，以改良土壤理化性质，保障林地土壤肥力。</w:t>
      </w:r>
    </w:p>
    <w:p w14:paraId="22149C1B">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538" w:name="_Toc3391"/>
      <w:bookmarkStart w:id="539" w:name="_Toc8427"/>
      <w:bookmarkStart w:id="540" w:name="_Toc10740"/>
      <w:r>
        <w:rPr>
          <w:rFonts w:hint="eastAsia" w:ascii="黑体" w:hAnsi="黑体" w:cs="Times New Roman"/>
          <w:bCs w:val="0"/>
          <w:kern w:val="0"/>
          <w:sz w:val="32"/>
          <w:szCs w:val="32"/>
          <w:lang w:val="en-US" w:eastAsia="zh-CN"/>
        </w:rPr>
        <w:t>7.2 节能节水设计</w:t>
      </w:r>
      <w:bookmarkEnd w:id="538"/>
      <w:bookmarkEnd w:id="539"/>
      <w:bookmarkEnd w:id="540"/>
    </w:p>
    <w:p w14:paraId="29CB801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节能是指加强用能管理，采用技术上可行、经济上合理以及环境社会可以承受的措施，减少从能源生产到消费各个环节中的损失和浪费，更加有效、合理地利用能源，提高能源利用效率和经济效益，以保护环境，保障国民经济和社会的发展，满足人民生活需要。</w:t>
      </w:r>
    </w:p>
    <w:p w14:paraId="3E8EBDCC">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7.2.1依据</w:t>
      </w:r>
    </w:p>
    <w:p w14:paraId="5D730950">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（1）《中华人民共和国能源法》（国家主席令第77号）</w:t>
      </w:r>
    </w:p>
    <w:p w14:paraId="4689C3E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（2）《中华人民共和国节约能源法释义》</w:t>
      </w:r>
    </w:p>
    <w:p w14:paraId="07D9452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（3）《国务院关于加强节能工作的决定》（国发〔2006〕28号）</w:t>
      </w:r>
    </w:p>
    <w:p w14:paraId="2D15A1E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（4）《关于基本建设和技术改造工程项目可行性研究报告增列节能篇（章）的暂行规定》（国计资源（1992）1959号文件 国家计委和建设部等部委联合发布）</w:t>
      </w:r>
    </w:p>
    <w:p w14:paraId="439FC3A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（5）《中华人民共和国清洁生产促进法》主席令五十四号；</w:t>
      </w:r>
    </w:p>
    <w:p w14:paraId="4B60F68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（6）《关于印发节能减排综合性工作方案的通知》（国发〔2011〕26号）；</w:t>
      </w:r>
    </w:p>
    <w:p w14:paraId="2080B6D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（7）《节能中长期专项规划》（发改环资〔2004〕2505号）；</w:t>
      </w:r>
    </w:p>
    <w:p w14:paraId="7546292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（8）《中国节能技术政策大纲》（2006年）修订版（发改环资〔2007〕199号）（国家发改委·科技部2007年1月25日）；</w:t>
      </w:r>
    </w:p>
    <w:p w14:paraId="0CB79FA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（9）《国家鼓励发展的资源节约综合利用环境保护技术》（国家发改委2005年第65号）。</w:t>
      </w:r>
    </w:p>
    <w:p w14:paraId="5E3249D0">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7.2.2节能措施</w:t>
      </w:r>
    </w:p>
    <w:p w14:paraId="3D3D977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泵站消耗的能源主要是电能，其中又以提升泵为主。提升泵的电耗一般占总电耗的20%左右，是节能的关键。对于提升泵，设计时尽量使连接管路短，以减少水头损失，从而减少水泵的扬程。同时对提升泵实行合理控制，使水泵在高效率段运行。设计中从以下几方面节能：</w:t>
      </w:r>
    </w:p>
    <w:p w14:paraId="1ABAE47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（1）泵站耗电量大的主要设备是水泵，应选用高效、低耗的先进设备。水泵选型时，应确保水泵的正常工况点位于运行的高效区内。</w:t>
      </w:r>
    </w:p>
    <w:p w14:paraId="698C80E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（2）泵站所有的电气设备应采用高效、低耗的先进设备。变压器选用高效、低损、节能、免维护型的干式电力变压器。</w:t>
      </w:r>
    </w:p>
    <w:p w14:paraId="754CB15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（3）选用无功功率自动补偿装置，合理选择主变电所位置，使其处于负荷中心。</w:t>
      </w:r>
    </w:p>
    <w:p w14:paraId="0B784D8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（4）泵站的操作管理应采用自控系统，运行、处理过程采用PLC实现最佳控制，合理调整工况，自动调节设备、阀门的开启，保证系统高效工作。</w:t>
      </w:r>
    </w:p>
    <w:p w14:paraId="463F561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（5）降低泵站耗电的另一途径是减少连接管道的水头损失。构筑物应沿水流方向顺直布置；连接管道应不转弯、少转弯；连接管道的管径应按经济流速选择，使水头损失降低至最低限度，以节约能源。</w:t>
      </w:r>
    </w:p>
    <w:p w14:paraId="35CF03AC">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default"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7.2.3节水措施</w:t>
      </w:r>
    </w:p>
    <w:p w14:paraId="43B3661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 xml:space="preserve">按照建设节约型社会的要求，做好节水宣传，增强人们节水意识。依据《节水型城市目标导则》，并按照《节水型城市目标考核标准》开展节水型城市的创建工作，进一步做好计划用水，节约用水工作。      </w:t>
      </w:r>
    </w:p>
    <w:p w14:paraId="6E0B74F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（1）按照建设节约型社会的要求，做好节水宣传，增强人们节水意识。</w:t>
      </w:r>
    </w:p>
    <w:p w14:paraId="3D4285F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（2）用水供水系统选用变频泵和平衡阀，采用国家推荐的节水设备和器具，根据不同用途及分区设置适当数量的水表以节约用水和进行平衡测试。</w:t>
      </w:r>
    </w:p>
    <w:p w14:paraId="7EF0310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（3）水池、水箱溢流水位均设报警装置，防止进水管阀门故障时，水池、水箱长时间溢流排水。</w:t>
      </w:r>
    </w:p>
    <w:p w14:paraId="3DD746D0">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sectPr>
          <w:footerReference r:id="rId21" w:type="default"/>
          <w:footerReference r:id="rId22" w:type="even"/>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1BB9112B">
      <w:pPr>
        <w:pStyle w:val="2"/>
        <w:pageBreakBefore w:val="0"/>
        <w:widowControl w:val="0"/>
        <w:kinsoku/>
        <w:wordWrap/>
        <w:overflowPunct/>
        <w:topLinePunct w:val="0"/>
        <w:bidi w:val="0"/>
        <w:spacing w:before="326" w:beforeLines="100" w:after="326" w:afterLines="100"/>
        <w:ind w:firstLine="0" w:firstLineChars="0"/>
        <w:jc w:val="center"/>
        <w:rPr>
          <w:rFonts w:hint="eastAsia" w:ascii="黑体" w:hAnsi="黑体" w:eastAsia="黑体" w:cs="Times New Roman"/>
          <w:b/>
          <w:bCs/>
          <w:sz w:val="36"/>
          <w:szCs w:val="36"/>
          <w:lang w:eastAsia="zh-CN"/>
        </w:rPr>
      </w:pPr>
      <w:bookmarkStart w:id="541" w:name="_Toc13134"/>
      <w:bookmarkStart w:id="542" w:name="_Toc29321"/>
      <w:bookmarkStart w:id="543" w:name="_Toc20092"/>
      <w:bookmarkStart w:id="544" w:name="_Toc833"/>
      <w:r>
        <w:rPr>
          <w:rFonts w:hint="eastAsia" w:cs="Times New Roman"/>
          <w:b/>
          <w:bCs/>
          <w:sz w:val="36"/>
          <w:szCs w:val="36"/>
          <w:lang w:val="en-US" w:eastAsia="zh-CN"/>
        </w:rPr>
        <w:t>第八章 项目</w:t>
      </w:r>
      <w:r>
        <w:rPr>
          <w:rFonts w:hint="eastAsia" w:ascii="黑体" w:hAnsi="黑体" w:eastAsia="黑体" w:cs="Times New Roman"/>
          <w:b/>
          <w:bCs/>
          <w:sz w:val="36"/>
          <w:szCs w:val="36"/>
          <w:lang w:eastAsia="zh-CN"/>
        </w:rPr>
        <w:t>组织管理</w:t>
      </w:r>
      <w:bookmarkEnd w:id="541"/>
      <w:bookmarkEnd w:id="542"/>
      <w:bookmarkEnd w:id="543"/>
      <w:bookmarkEnd w:id="544"/>
    </w:p>
    <w:p w14:paraId="45417E0C">
      <w:pPr>
        <w:pStyle w:val="3"/>
        <w:pageBreakBefore w:val="0"/>
        <w:widowControl w:val="0"/>
        <w:kinsoku/>
        <w:wordWrap/>
        <w:overflowPunct/>
        <w:topLinePunct w:val="0"/>
        <w:bidi w:val="0"/>
        <w:spacing w:before="326" w:beforeLines="100" w:after="326" w:afterLines="100"/>
        <w:ind w:firstLine="0" w:firstLineChars="0"/>
        <w:jc w:val="center"/>
        <w:rPr>
          <w:rFonts w:hint="eastAsia" w:ascii="黑体" w:hAnsi="黑体" w:eastAsia="黑体" w:cs="Times New Roman"/>
          <w:b/>
          <w:bCs w:val="0"/>
          <w:sz w:val="32"/>
          <w:szCs w:val="32"/>
          <w:lang w:eastAsia="zh-CN"/>
        </w:rPr>
      </w:pPr>
      <w:bookmarkStart w:id="545" w:name="_Toc19662"/>
      <w:bookmarkStart w:id="546" w:name="_Toc135903029"/>
      <w:bookmarkStart w:id="547" w:name="_Toc14092"/>
      <w:bookmarkStart w:id="548" w:name="_Toc26462"/>
      <w:bookmarkStart w:id="549" w:name="_Toc5741"/>
      <w:r>
        <w:rPr>
          <w:rFonts w:hint="eastAsia" w:ascii="黑体" w:hAnsi="黑体" w:cs="Times New Roman"/>
          <w:b/>
          <w:bCs w:val="0"/>
          <w:sz w:val="32"/>
          <w:szCs w:val="32"/>
          <w:lang w:eastAsia="zh-CN"/>
        </w:rPr>
        <w:t>8</w:t>
      </w:r>
      <w:r>
        <w:rPr>
          <w:rFonts w:hint="eastAsia" w:ascii="黑体" w:hAnsi="黑体" w:eastAsia="黑体" w:cs="Times New Roman"/>
          <w:b/>
          <w:bCs w:val="0"/>
          <w:sz w:val="32"/>
          <w:szCs w:val="32"/>
          <w:lang w:eastAsia="zh-CN"/>
        </w:rPr>
        <w:t xml:space="preserve">.1 </w:t>
      </w:r>
      <w:bookmarkEnd w:id="545"/>
      <w:bookmarkEnd w:id="546"/>
      <w:bookmarkEnd w:id="547"/>
      <w:r>
        <w:rPr>
          <w:rFonts w:hint="eastAsia" w:ascii="黑体" w:hAnsi="黑体" w:eastAsia="黑体" w:cs="Times New Roman"/>
          <w:b/>
          <w:bCs w:val="0"/>
          <w:sz w:val="32"/>
          <w:szCs w:val="32"/>
          <w:lang w:eastAsia="zh-CN"/>
        </w:rPr>
        <w:t>组织管理</w:t>
      </w:r>
      <w:bookmarkEnd w:id="548"/>
      <w:bookmarkEnd w:id="549"/>
    </w:p>
    <w:p w14:paraId="2E4E8189">
      <w:pPr>
        <w:pStyle w:val="4"/>
        <w:keepNext/>
        <w:keepLines/>
        <w:pageBreakBefore w:val="0"/>
        <w:widowControl w:val="0"/>
        <w:kinsoku/>
        <w:wordWrap/>
        <w:overflowPunct/>
        <w:topLinePunct w:val="0"/>
        <w:autoSpaceDE/>
        <w:autoSpaceDN/>
        <w:bidi w:val="0"/>
        <w:spacing w:before="163" w:beforeLines="50" w:after="163" w:afterLines="50"/>
        <w:jc w:val="left"/>
        <w:rPr>
          <w:rFonts w:hint="eastAsia" w:ascii="楷体_GB2312" w:hAnsi="宋体" w:eastAsia="楷体_GB2312" w:cs="宋体"/>
          <w:b/>
          <w:bCs/>
          <w:sz w:val="30"/>
          <w:szCs w:val="30"/>
          <w:lang w:eastAsia="zh-CN"/>
        </w:rPr>
      </w:pPr>
      <w:r>
        <w:rPr>
          <w:rFonts w:hint="eastAsia" w:ascii="楷体_GB2312" w:hAnsi="宋体" w:eastAsia="楷体_GB2312" w:cs="宋体"/>
          <w:b/>
          <w:bCs/>
          <w:sz w:val="30"/>
          <w:szCs w:val="30"/>
          <w:lang w:eastAsia="zh-CN"/>
        </w:rPr>
        <w:t>8.1.1 项目领导小组</w:t>
      </w:r>
    </w:p>
    <w:p w14:paraId="08DE5404">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为加强项目管理，成立项目领导小组。组长由政府分管领导担任，成员包括林</w:t>
      </w:r>
      <w:r>
        <w:rPr>
          <w:rFonts w:hint="eastAsia" w:ascii="Times New Roman" w:hAnsi="Times New Roman" w:eastAsia="仿宋_GB2312" w:cs="Times New Roman"/>
          <w:bCs/>
          <w:sz w:val="28"/>
          <w:szCs w:val="28"/>
          <w:lang w:val="en-US" w:eastAsia="zh-CN"/>
        </w:rPr>
        <w:t>水</w:t>
      </w:r>
      <w:r>
        <w:rPr>
          <w:rFonts w:hint="eastAsia" w:ascii="Times New Roman" w:hAnsi="Times New Roman" w:eastAsia="仿宋_GB2312" w:cs="Times New Roman"/>
          <w:bCs/>
          <w:sz w:val="28"/>
          <w:szCs w:val="28"/>
          <w:lang w:eastAsia="zh-CN"/>
        </w:rPr>
        <w:t>局、</w:t>
      </w:r>
      <w:r>
        <w:rPr>
          <w:rFonts w:hint="eastAsia" w:ascii="Times New Roman" w:hAnsi="Times New Roman" w:eastAsia="仿宋_GB2312" w:cs="Times New Roman"/>
          <w:bCs/>
          <w:sz w:val="28"/>
          <w:szCs w:val="28"/>
          <w:lang w:val="en-US" w:eastAsia="zh-CN"/>
        </w:rPr>
        <w:t>发改局</w:t>
      </w:r>
      <w:r>
        <w:rPr>
          <w:rFonts w:hint="eastAsia" w:ascii="Times New Roman" w:hAnsi="Times New Roman" w:eastAsia="仿宋_GB2312" w:cs="Times New Roman"/>
          <w:bCs/>
          <w:sz w:val="28"/>
          <w:szCs w:val="28"/>
          <w:lang w:eastAsia="zh-CN"/>
        </w:rPr>
        <w:t>、财政局</w:t>
      </w:r>
      <w:r>
        <w:rPr>
          <w:rFonts w:hint="eastAsia" w:ascii="Times New Roman" w:hAnsi="Times New Roman" w:eastAsia="仿宋_GB2312" w:cs="Times New Roman"/>
          <w:bCs/>
          <w:sz w:val="28"/>
          <w:szCs w:val="28"/>
          <w:lang w:val="en-US" w:eastAsia="zh-CN"/>
        </w:rPr>
        <w:t>、农投集团</w:t>
      </w:r>
      <w:r>
        <w:rPr>
          <w:rFonts w:hint="eastAsia" w:ascii="Times New Roman" w:hAnsi="Times New Roman" w:eastAsia="仿宋_GB2312" w:cs="Times New Roman"/>
          <w:bCs/>
          <w:sz w:val="28"/>
          <w:szCs w:val="28"/>
          <w:lang w:eastAsia="zh-CN"/>
        </w:rPr>
        <w:t>、项目所在</w:t>
      </w:r>
      <w:r>
        <w:rPr>
          <w:rFonts w:hint="eastAsia" w:ascii="Times New Roman" w:hAnsi="Times New Roman" w:eastAsia="仿宋_GB2312" w:cs="Times New Roman"/>
          <w:bCs/>
          <w:sz w:val="28"/>
          <w:szCs w:val="28"/>
          <w:lang w:val="en-US" w:eastAsia="zh-CN"/>
        </w:rPr>
        <w:t>乡（镇、街道）</w:t>
      </w:r>
      <w:r>
        <w:rPr>
          <w:rFonts w:hint="eastAsia" w:ascii="Times New Roman" w:hAnsi="Times New Roman" w:eastAsia="仿宋_GB2312" w:cs="Times New Roman"/>
          <w:bCs/>
          <w:sz w:val="28"/>
          <w:szCs w:val="28"/>
          <w:lang w:eastAsia="zh-CN"/>
        </w:rPr>
        <w:t>等相关单位的负责人组成，负责协调、监督、技术指导、</w:t>
      </w:r>
      <w:r>
        <w:rPr>
          <w:rFonts w:hint="eastAsia" w:ascii="Times New Roman" w:hAnsi="Times New Roman" w:eastAsia="仿宋_GB2312" w:cs="Times New Roman"/>
          <w:bCs/>
          <w:sz w:val="28"/>
          <w:szCs w:val="28"/>
          <w:lang w:val="en-US" w:eastAsia="zh-CN"/>
        </w:rPr>
        <w:t>资金拨付</w:t>
      </w:r>
      <w:r>
        <w:rPr>
          <w:rFonts w:hint="eastAsia" w:ascii="Times New Roman" w:hAnsi="Times New Roman" w:eastAsia="仿宋_GB2312" w:cs="Times New Roman"/>
          <w:bCs/>
          <w:sz w:val="28"/>
          <w:szCs w:val="28"/>
          <w:lang w:eastAsia="zh-CN"/>
        </w:rPr>
        <w:t>和检查验收的实施。</w:t>
      </w:r>
    </w:p>
    <w:p w14:paraId="2B9CA748">
      <w:pPr>
        <w:pStyle w:val="4"/>
        <w:keepNext/>
        <w:keepLines/>
        <w:pageBreakBefore w:val="0"/>
        <w:widowControl w:val="0"/>
        <w:kinsoku/>
        <w:wordWrap/>
        <w:overflowPunct/>
        <w:topLinePunct w:val="0"/>
        <w:autoSpaceDE/>
        <w:autoSpaceDN/>
        <w:bidi w:val="0"/>
        <w:spacing w:before="163" w:beforeLines="50" w:after="163" w:afterLines="50"/>
        <w:jc w:val="left"/>
        <w:rPr>
          <w:rFonts w:hint="eastAsia" w:ascii="楷体_GB2312" w:hAnsi="宋体" w:eastAsia="楷体_GB2312" w:cs="宋体"/>
          <w:b/>
          <w:bCs/>
          <w:sz w:val="30"/>
          <w:szCs w:val="30"/>
          <w:lang w:eastAsia="zh-CN"/>
        </w:rPr>
      </w:pPr>
      <w:r>
        <w:rPr>
          <w:rFonts w:hint="eastAsia" w:ascii="楷体_GB2312" w:hAnsi="宋体" w:eastAsia="楷体_GB2312" w:cs="宋体"/>
          <w:b/>
          <w:bCs/>
          <w:sz w:val="30"/>
          <w:szCs w:val="30"/>
          <w:lang w:eastAsia="zh-CN"/>
        </w:rPr>
        <w:t>8.1.2 领导小组职责</w:t>
      </w:r>
    </w:p>
    <w:p w14:paraId="7DC5F8E9">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（1）常山县汇聚油茶产业发展有限公司（</w:t>
      </w:r>
      <w:r>
        <w:rPr>
          <w:rFonts w:hint="eastAsia" w:ascii="Times New Roman" w:hAnsi="Times New Roman" w:eastAsia="仿宋_GB2312" w:cs="Times New Roman"/>
          <w:bCs/>
          <w:sz w:val="28"/>
          <w:szCs w:val="28"/>
          <w:lang w:val="en-US" w:eastAsia="zh-CN"/>
        </w:rPr>
        <w:t>农投集团下属公司</w:t>
      </w:r>
      <w:r>
        <w:rPr>
          <w:rFonts w:hint="eastAsia" w:ascii="Times New Roman" w:hAnsi="Times New Roman" w:eastAsia="仿宋_GB2312" w:cs="Times New Roman"/>
          <w:bCs/>
          <w:sz w:val="28"/>
          <w:szCs w:val="28"/>
          <w:lang w:eastAsia="zh-CN"/>
        </w:rPr>
        <w:t>）负责具体实施，负责项目总体设计、实施，包括项目立项、资金筹措、政策标准制定、招投标、建设管理、竣工验收等。</w:t>
      </w:r>
    </w:p>
    <w:p w14:paraId="3666EAD8">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（2）县财政局负责</w:t>
      </w:r>
      <w:r>
        <w:rPr>
          <w:rFonts w:hint="eastAsia" w:ascii="Times New Roman" w:hAnsi="Times New Roman" w:eastAsia="仿宋_GB2312" w:cs="Times New Roman"/>
          <w:bCs/>
          <w:sz w:val="28"/>
          <w:szCs w:val="28"/>
          <w:lang w:val="en-US" w:eastAsia="zh-CN"/>
        </w:rPr>
        <w:t>上级</w:t>
      </w:r>
      <w:r>
        <w:rPr>
          <w:rFonts w:hint="eastAsia" w:ascii="Times New Roman" w:hAnsi="Times New Roman" w:eastAsia="仿宋_GB2312" w:cs="Times New Roman"/>
          <w:bCs/>
          <w:sz w:val="28"/>
          <w:szCs w:val="28"/>
          <w:lang w:eastAsia="zh-CN"/>
        </w:rPr>
        <w:t>资金争取、资金拨付、项目绩效评价等工作。</w:t>
      </w:r>
    </w:p>
    <w:p w14:paraId="4138414E">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（3）县发改局负责项目立项审批。</w:t>
      </w:r>
    </w:p>
    <w:p w14:paraId="6DC02B7D">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（4）县林水局作为项目行业主管部门，负责项目实施前期调查、政策标准制定、技术指导、林地报批、砍伐报批、资金争取、项目监管等工作。</w:t>
      </w:r>
    </w:p>
    <w:p w14:paraId="3412D887">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（5）各乡镇、街道（</w:t>
      </w:r>
      <w:r>
        <w:rPr>
          <w:rFonts w:hint="eastAsia" w:ascii="Times New Roman" w:hAnsi="Times New Roman" w:eastAsia="仿宋_GB2312" w:cs="Times New Roman"/>
          <w:bCs/>
          <w:sz w:val="28"/>
          <w:szCs w:val="28"/>
          <w:lang w:val="en-US" w:eastAsia="zh-CN"/>
        </w:rPr>
        <w:t>本片区为白石镇</w:t>
      </w:r>
      <w:r>
        <w:rPr>
          <w:rFonts w:hint="eastAsia" w:ascii="Times New Roman" w:hAnsi="Times New Roman" w:eastAsia="仿宋_GB2312" w:cs="Times New Roman"/>
          <w:bCs/>
          <w:sz w:val="28"/>
          <w:szCs w:val="28"/>
          <w:lang w:eastAsia="zh-CN"/>
        </w:rPr>
        <w:t>）负责项目政策处理、分户丈量、土地流转等工作，协助做好项目的工程投资、工期、质量和安全等工作。</w:t>
      </w:r>
    </w:p>
    <w:p w14:paraId="1AD009CB">
      <w:pPr>
        <w:pStyle w:val="4"/>
        <w:keepNext/>
        <w:keepLines/>
        <w:pageBreakBefore w:val="0"/>
        <w:widowControl w:val="0"/>
        <w:kinsoku/>
        <w:wordWrap/>
        <w:overflowPunct/>
        <w:topLinePunct w:val="0"/>
        <w:autoSpaceDE/>
        <w:autoSpaceDN/>
        <w:bidi w:val="0"/>
        <w:spacing w:before="163" w:beforeLines="50" w:after="163" w:afterLines="50"/>
        <w:jc w:val="left"/>
        <w:rPr>
          <w:rFonts w:hint="eastAsia" w:ascii="楷体_GB2312" w:hAnsi="宋体" w:eastAsia="楷体_GB2312" w:cs="宋体"/>
          <w:b/>
          <w:bCs/>
          <w:sz w:val="30"/>
          <w:szCs w:val="30"/>
          <w:lang w:eastAsia="zh-CN"/>
        </w:rPr>
      </w:pPr>
      <w:r>
        <w:rPr>
          <w:rFonts w:hint="eastAsia" w:ascii="楷体_GB2312" w:hAnsi="宋体" w:eastAsia="楷体_GB2312" w:cs="宋体"/>
          <w:b/>
          <w:bCs/>
          <w:sz w:val="30"/>
          <w:szCs w:val="30"/>
          <w:lang w:eastAsia="zh-CN"/>
        </w:rPr>
        <w:t>8.1.3 项目建设</w:t>
      </w:r>
      <w:r>
        <w:rPr>
          <w:rFonts w:hint="eastAsia" w:ascii="楷体_GB2312" w:hAnsi="宋体" w:eastAsia="楷体_GB2312" w:cs="宋体"/>
          <w:b/>
          <w:bCs/>
          <w:sz w:val="30"/>
          <w:szCs w:val="30"/>
          <w:lang w:val="en-US" w:eastAsia="zh-CN"/>
        </w:rPr>
        <w:t>单位机构</w:t>
      </w:r>
      <w:r>
        <w:rPr>
          <w:rFonts w:hint="eastAsia" w:ascii="楷体_GB2312" w:hAnsi="宋体" w:eastAsia="楷体_GB2312" w:cs="宋体"/>
          <w:b/>
          <w:bCs/>
          <w:sz w:val="30"/>
          <w:szCs w:val="30"/>
          <w:lang w:eastAsia="zh-CN"/>
        </w:rPr>
        <w:t>设置</w:t>
      </w:r>
    </w:p>
    <w:p w14:paraId="2DEEAA4E">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项目采用</w:t>
      </w:r>
      <w:r>
        <w:rPr>
          <w:rFonts w:hint="eastAsia" w:ascii="Times New Roman" w:hAnsi="Times New Roman" w:eastAsia="仿宋_GB2312" w:cs="Times New Roman"/>
          <w:bCs/>
          <w:sz w:val="28"/>
          <w:szCs w:val="28"/>
          <w:lang w:val="en-US" w:eastAsia="zh-CN"/>
        </w:rPr>
        <w:t>代建制，实行</w:t>
      </w:r>
      <w:r>
        <w:rPr>
          <w:rFonts w:hint="eastAsia" w:ascii="Times New Roman" w:hAnsi="Times New Roman" w:eastAsia="仿宋_GB2312" w:cs="Times New Roman"/>
          <w:bCs/>
          <w:sz w:val="28"/>
          <w:szCs w:val="28"/>
          <w:lang w:eastAsia="zh-CN"/>
        </w:rPr>
        <w:t>现代企业管理模式，实行项目法人责任制的部门承包责任制，将任务、质量与经济效益挂钩。为便于管理，本着精简，直接为生产服务的原则，本油茶</w:t>
      </w:r>
      <w:r>
        <w:rPr>
          <w:rFonts w:hint="eastAsia" w:ascii="Times New Roman" w:hAnsi="Times New Roman" w:eastAsia="仿宋_GB2312" w:cs="Times New Roman"/>
          <w:bCs/>
          <w:sz w:val="28"/>
          <w:szCs w:val="28"/>
          <w:lang w:val="en-US" w:eastAsia="zh-CN"/>
        </w:rPr>
        <w:t>共富示范项目</w:t>
      </w:r>
      <w:r>
        <w:rPr>
          <w:rFonts w:hint="eastAsia" w:ascii="Times New Roman" w:hAnsi="Times New Roman" w:eastAsia="仿宋_GB2312" w:cs="Times New Roman"/>
          <w:bCs/>
          <w:sz w:val="28"/>
          <w:szCs w:val="28"/>
          <w:lang w:eastAsia="zh-CN"/>
        </w:rPr>
        <w:t>下设办公室、财务部、生产经营部和技术服务部等，各部门负责人由法人代表聘任，各部门的主要职能为：</w:t>
      </w:r>
    </w:p>
    <w:p w14:paraId="0E9601D7">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（1）办公室：主要负责工程建设的日常工作。</w:t>
      </w:r>
    </w:p>
    <w:p w14:paraId="2600393A">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（2）技术服务部：主要负责项目实施过程中的有关科学研究和新技术、新品种开发，同时负责项目的对外科技合作与交流、科技示范、技术推广、人员培训等工作；</w:t>
      </w:r>
    </w:p>
    <w:p w14:paraId="2E742F4C">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（3）生产经营部：主要负责项目的生产计划制定、各项生产活动的组织管理以及产品的销售等；</w:t>
      </w:r>
    </w:p>
    <w:p w14:paraId="0F348579">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（4）财务部：主要负责项目的财务管理工作等。</w:t>
      </w:r>
    </w:p>
    <w:p w14:paraId="3A06B336">
      <w:pPr>
        <w:pStyle w:val="3"/>
        <w:pageBreakBefore w:val="0"/>
        <w:widowControl w:val="0"/>
        <w:kinsoku/>
        <w:wordWrap/>
        <w:overflowPunct/>
        <w:topLinePunct w:val="0"/>
        <w:bidi w:val="0"/>
        <w:spacing w:before="326" w:beforeLines="100" w:after="326" w:afterLines="100"/>
        <w:ind w:firstLine="0" w:firstLineChars="0"/>
        <w:jc w:val="center"/>
        <w:rPr>
          <w:rFonts w:hint="eastAsia" w:ascii="黑体" w:hAnsi="黑体" w:eastAsia="黑体" w:cs="Times New Roman"/>
          <w:b/>
          <w:bCs w:val="0"/>
          <w:sz w:val="32"/>
          <w:szCs w:val="32"/>
          <w:lang w:eastAsia="zh-CN"/>
        </w:rPr>
      </w:pPr>
      <w:bookmarkStart w:id="550" w:name="_Toc3901"/>
      <w:bookmarkStart w:id="551" w:name="_Toc29984"/>
      <w:bookmarkStart w:id="552" w:name="_Toc24975"/>
      <w:bookmarkStart w:id="553" w:name="_Toc313"/>
      <w:r>
        <w:rPr>
          <w:rFonts w:hint="eastAsia" w:ascii="黑体" w:hAnsi="黑体" w:cs="Times New Roman"/>
          <w:b/>
          <w:bCs w:val="0"/>
          <w:sz w:val="32"/>
          <w:szCs w:val="32"/>
          <w:lang w:eastAsia="zh-CN"/>
        </w:rPr>
        <w:t>8</w:t>
      </w:r>
      <w:r>
        <w:rPr>
          <w:rFonts w:hint="eastAsia" w:ascii="黑体" w:hAnsi="黑体" w:eastAsia="黑体" w:cs="Times New Roman"/>
          <w:b/>
          <w:bCs w:val="0"/>
          <w:sz w:val="32"/>
          <w:szCs w:val="32"/>
          <w:lang w:eastAsia="zh-CN"/>
        </w:rPr>
        <w:t>.2 计划管理</w:t>
      </w:r>
      <w:bookmarkEnd w:id="550"/>
      <w:bookmarkEnd w:id="551"/>
      <w:bookmarkEnd w:id="552"/>
      <w:bookmarkEnd w:id="553"/>
    </w:p>
    <w:p w14:paraId="33F75309">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（1）制订计划。根据建设期限要求，细化分解制订好项目实施年度计划，对年度的建设任务、内容、进度、资金、效益等内容作出具体安排。</w:t>
      </w:r>
    </w:p>
    <w:p w14:paraId="7E0A3375">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（2）落实计划。落实计划进度，合理安排人员、设备、资金等，调整各方面关系，保证计划的顺利实施。</w:t>
      </w:r>
    </w:p>
    <w:p w14:paraId="4394C16F">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（3）制定措施。制定行动措施，把权、责、利结合起来，充分调动全员积极性，合理利用人力、物力、财力，提高工作效率和经济效益，保证年度计划的全面完成。</w:t>
      </w:r>
    </w:p>
    <w:p w14:paraId="76E9F582">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（4）监督检查。检查工作的执行情况，及时发现问题和解决问题，总结计划工作的经验和教训，提高项目计划的管理水平。</w:t>
      </w:r>
    </w:p>
    <w:p w14:paraId="1D44784D">
      <w:pPr>
        <w:pStyle w:val="3"/>
        <w:keepNext w:val="0"/>
        <w:keepLines w:val="0"/>
        <w:pageBreakBefore w:val="0"/>
        <w:widowControl w:val="0"/>
        <w:tabs>
          <w:tab w:val="left" w:pos="420"/>
          <w:tab w:val="left" w:pos="688"/>
        </w:tabs>
        <w:kinsoku/>
        <w:wordWrap/>
        <w:overflowPunct/>
        <w:topLinePunct w:val="0"/>
        <w:autoSpaceDE w:val="0"/>
        <w:autoSpaceDN w:val="0"/>
        <w:bidi w:val="0"/>
        <w:adjustRightInd/>
        <w:snapToGrid/>
        <w:spacing w:before="326" w:beforeLines="100" w:after="326" w:afterLines="100" w:line="360" w:lineRule="auto"/>
        <w:ind w:left="0" w:leftChars="0" w:firstLine="0" w:firstLineChars="0"/>
        <w:jc w:val="center"/>
        <w:textAlignment w:val="auto"/>
        <w:outlineLvl w:val="1"/>
        <w:rPr>
          <w:rFonts w:hint="eastAsia" w:ascii="黑体" w:hAnsi="黑体" w:eastAsia="黑体" w:cs="Times New Roman"/>
          <w:b/>
          <w:bCs w:val="0"/>
          <w:sz w:val="32"/>
          <w:szCs w:val="32"/>
          <w:lang w:eastAsia="zh-CN"/>
        </w:rPr>
      </w:pPr>
      <w:bookmarkStart w:id="554" w:name="_Toc11080"/>
      <w:bookmarkStart w:id="555" w:name="_Toc14325"/>
      <w:r>
        <w:rPr>
          <w:rFonts w:hint="eastAsia" w:ascii="黑体" w:hAnsi="黑体" w:cs="Times New Roman"/>
          <w:b/>
          <w:bCs w:val="0"/>
          <w:sz w:val="32"/>
          <w:szCs w:val="32"/>
          <w:lang w:eastAsia="zh-CN"/>
        </w:rPr>
        <w:t>8</w:t>
      </w:r>
      <w:r>
        <w:rPr>
          <w:rFonts w:hint="eastAsia" w:ascii="黑体" w:hAnsi="黑体" w:eastAsia="黑体" w:cs="Times New Roman"/>
          <w:b/>
          <w:bCs w:val="0"/>
          <w:sz w:val="32"/>
          <w:szCs w:val="32"/>
          <w:lang w:eastAsia="zh-CN"/>
        </w:rPr>
        <w:t>.</w:t>
      </w:r>
      <w:r>
        <w:rPr>
          <w:rFonts w:hint="eastAsia" w:ascii="黑体" w:hAnsi="黑体" w:cs="Times New Roman"/>
          <w:b/>
          <w:bCs w:val="0"/>
          <w:sz w:val="32"/>
          <w:szCs w:val="32"/>
          <w:lang w:val="en-US" w:eastAsia="zh-CN"/>
        </w:rPr>
        <w:t>3</w:t>
      </w:r>
      <w:r>
        <w:rPr>
          <w:rFonts w:hint="eastAsia" w:ascii="黑体" w:hAnsi="黑体" w:eastAsia="黑体" w:cs="Times New Roman"/>
          <w:b/>
          <w:bCs w:val="0"/>
          <w:sz w:val="32"/>
          <w:szCs w:val="32"/>
          <w:lang w:eastAsia="zh-CN"/>
        </w:rPr>
        <w:t xml:space="preserve"> </w:t>
      </w:r>
      <w:r>
        <w:rPr>
          <w:rFonts w:hint="eastAsia" w:ascii="黑体" w:hAnsi="黑体" w:cs="Times New Roman"/>
          <w:b/>
          <w:bCs w:val="0"/>
          <w:sz w:val="32"/>
          <w:szCs w:val="32"/>
          <w:lang w:val="en-US" w:eastAsia="zh-CN"/>
        </w:rPr>
        <w:t>林地流转</w:t>
      </w:r>
      <w:r>
        <w:rPr>
          <w:rFonts w:hint="eastAsia" w:ascii="黑体" w:hAnsi="黑体" w:eastAsia="黑体" w:cs="Times New Roman"/>
          <w:b/>
          <w:bCs w:val="0"/>
          <w:sz w:val="32"/>
          <w:szCs w:val="32"/>
          <w:lang w:eastAsia="zh-CN"/>
        </w:rPr>
        <w:t>管理</w:t>
      </w:r>
      <w:bookmarkEnd w:id="554"/>
      <w:bookmarkEnd w:id="555"/>
    </w:p>
    <w:p w14:paraId="79F6BE39">
      <w:pPr>
        <w:pStyle w:val="4"/>
        <w:keepNext/>
        <w:keepLines/>
        <w:pageBreakBefore w:val="0"/>
        <w:widowControl w:val="0"/>
        <w:kinsoku/>
        <w:wordWrap/>
        <w:overflowPunct/>
        <w:topLinePunct w:val="0"/>
        <w:autoSpaceDE/>
        <w:autoSpaceDN/>
        <w:bidi w:val="0"/>
        <w:spacing w:before="163" w:beforeLines="50" w:after="163" w:afterLines="50"/>
        <w:jc w:val="left"/>
        <w:rPr>
          <w:rFonts w:hint="default" w:ascii="楷体_GB2312" w:hAnsi="宋体" w:eastAsia="楷体_GB2312" w:cs="宋体"/>
          <w:bCs/>
          <w:sz w:val="30"/>
          <w:szCs w:val="30"/>
          <w:lang w:eastAsia="zh-CN"/>
        </w:rPr>
      </w:pPr>
      <w:r>
        <w:rPr>
          <w:rFonts w:hint="eastAsia" w:ascii="楷体_GB2312" w:hAnsi="宋体" w:eastAsia="楷体_GB2312" w:cs="宋体"/>
          <w:bCs/>
          <w:sz w:val="30"/>
          <w:szCs w:val="30"/>
          <w:lang w:val="en-US" w:eastAsia="zh-CN"/>
        </w:rPr>
        <w:t>8.3</w:t>
      </w:r>
      <w:r>
        <w:rPr>
          <w:rFonts w:hint="eastAsia" w:ascii="楷体_GB2312" w:hAnsi="宋体" w:eastAsia="楷体_GB2312" w:cs="宋体"/>
          <w:bCs/>
          <w:sz w:val="30"/>
          <w:szCs w:val="30"/>
          <w:lang w:eastAsia="zh-CN"/>
        </w:rPr>
        <w:t>.1 流转</w:t>
      </w:r>
      <w:r>
        <w:rPr>
          <w:rFonts w:hint="eastAsia" w:ascii="楷体_GB2312" w:hAnsi="宋体" w:eastAsia="楷体_GB2312" w:cs="宋体"/>
          <w:bCs/>
          <w:sz w:val="30"/>
          <w:szCs w:val="30"/>
          <w:lang w:val="en-US" w:eastAsia="zh-CN"/>
        </w:rPr>
        <w:t>模式</w:t>
      </w:r>
    </w:p>
    <w:p w14:paraId="56F2BCC9">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常山县</w:t>
      </w:r>
      <w:r>
        <w:rPr>
          <w:rFonts w:hint="eastAsia" w:ascii="Times New Roman" w:hAnsi="Times New Roman" w:eastAsia="仿宋_GB2312" w:cs="Times New Roman"/>
          <w:bCs/>
          <w:sz w:val="28"/>
          <w:szCs w:val="28"/>
          <w:lang w:eastAsia="zh-CN"/>
        </w:rPr>
        <w:t>林水局作为项目行业主管部门，在其统筹指导下常山县油茶产业发展中心</w:t>
      </w:r>
      <w:r>
        <w:rPr>
          <w:rFonts w:hint="eastAsia" w:ascii="Times New Roman" w:hAnsi="Times New Roman" w:eastAsia="仿宋_GB2312" w:cs="Times New Roman"/>
          <w:bCs/>
          <w:sz w:val="28"/>
          <w:szCs w:val="28"/>
          <w:lang w:val="en-US" w:eastAsia="zh-CN"/>
        </w:rPr>
        <w:t>作为业主单位</w:t>
      </w:r>
      <w:r>
        <w:rPr>
          <w:rFonts w:hint="eastAsia" w:ascii="Times New Roman" w:hAnsi="Times New Roman" w:eastAsia="仿宋_GB2312" w:cs="Times New Roman"/>
          <w:bCs/>
          <w:sz w:val="28"/>
          <w:szCs w:val="28"/>
          <w:lang w:eastAsia="zh-CN"/>
        </w:rPr>
        <w:t>，常山县农村投资集团有限公司作为项目</w:t>
      </w:r>
      <w:r>
        <w:rPr>
          <w:rFonts w:hint="eastAsia" w:ascii="Times New Roman" w:hAnsi="Times New Roman" w:eastAsia="仿宋_GB2312" w:cs="Times New Roman"/>
          <w:bCs/>
          <w:sz w:val="28"/>
          <w:szCs w:val="28"/>
          <w:lang w:val="en-US" w:eastAsia="zh-CN"/>
        </w:rPr>
        <w:t>代建单位，</w:t>
      </w:r>
      <w:r>
        <w:rPr>
          <w:rFonts w:hint="eastAsia" w:ascii="Times New Roman" w:hAnsi="Times New Roman" w:eastAsia="仿宋_GB2312" w:cs="Times New Roman"/>
          <w:bCs/>
          <w:sz w:val="28"/>
          <w:szCs w:val="28"/>
          <w:lang w:eastAsia="zh-CN"/>
        </w:rPr>
        <w:t>具体由农投集团下属常山县汇聚油茶产业发展有限公司负责项目总体实施，与项目所在乡镇（街道）先签订项目委托林地流转协议，在林地流转工作启动后按年度计划任务分阶段支付乡镇（街道）工作经费。项目立项后，由常山县油茶产业发展中心发包实施招标</w:t>
      </w:r>
      <w:r>
        <w:rPr>
          <w:rFonts w:hint="eastAsia" w:ascii="Times New Roman" w:hAnsi="Times New Roman" w:eastAsia="仿宋_GB2312" w:cs="Times New Roman"/>
          <w:bCs/>
          <w:sz w:val="28"/>
          <w:szCs w:val="28"/>
          <w:lang w:val="en-US" w:eastAsia="zh-CN"/>
        </w:rPr>
        <w:t>或采购</w:t>
      </w:r>
      <w:r>
        <w:rPr>
          <w:rFonts w:hint="eastAsia" w:ascii="Times New Roman" w:hAnsi="Times New Roman" w:eastAsia="仿宋_GB2312" w:cs="Times New Roman"/>
          <w:bCs/>
          <w:sz w:val="28"/>
          <w:szCs w:val="28"/>
          <w:lang w:eastAsia="zh-CN"/>
        </w:rPr>
        <w:t>，确定</w:t>
      </w:r>
      <w:r>
        <w:rPr>
          <w:rFonts w:hint="eastAsia" w:ascii="Times New Roman" w:hAnsi="Times New Roman" w:eastAsia="仿宋_GB2312" w:cs="Times New Roman"/>
          <w:bCs/>
          <w:sz w:val="28"/>
          <w:szCs w:val="28"/>
          <w:lang w:val="en-US" w:eastAsia="zh-CN"/>
        </w:rPr>
        <w:t>具体</w:t>
      </w:r>
      <w:r>
        <w:rPr>
          <w:rFonts w:hint="eastAsia" w:ascii="Times New Roman" w:hAnsi="Times New Roman" w:eastAsia="仿宋_GB2312" w:cs="Times New Roman"/>
          <w:bCs/>
          <w:sz w:val="28"/>
          <w:szCs w:val="28"/>
          <w:lang w:eastAsia="zh-CN"/>
        </w:rPr>
        <w:t>施工单位。</w:t>
      </w:r>
    </w:p>
    <w:p w14:paraId="0FBB43BF">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以“经营主体+国资公司+村集体+农户”紧密联结的模式，新造林5年内由项目实施单位负责管护，5年后达到初产期，保留一定面积油茶林（油茶新造林高标准示范基地、油茶低产林改造高标准示范基地）自营，其他部分可返还村集体或者农户进行规范化管理，形成利益联结机制，从而确保农户利益。</w:t>
      </w:r>
    </w:p>
    <w:p w14:paraId="605F94A8">
      <w:pPr>
        <w:pStyle w:val="4"/>
        <w:keepNext/>
        <w:keepLines/>
        <w:pageBreakBefore w:val="0"/>
        <w:widowControl w:val="0"/>
        <w:kinsoku/>
        <w:wordWrap/>
        <w:overflowPunct/>
        <w:topLinePunct w:val="0"/>
        <w:autoSpaceDE/>
        <w:autoSpaceDN/>
        <w:bidi w:val="0"/>
        <w:adjustRightInd/>
        <w:snapToGrid/>
        <w:spacing w:before="163" w:beforeLines="50" w:after="163" w:afterLines="50" w:line="360" w:lineRule="auto"/>
        <w:ind w:left="0" w:leftChars="0" w:firstLine="602" w:firstLineChars="200"/>
        <w:jc w:val="left"/>
        <w:textAlignment w:val="auto"/>
        <w:rPr>
          <w:rFonts w:hint="default" w:ascii="楷体_GB2312" w:hAnsi="宋体" w:eastAsia="楷体_GB2312" w:cs="宋体"/>
          <w:bCs/>
          <w:sz w:val="30"/>
          <w:szCs w:val="30"/>
          <w:lang w:eastAsia="zh-CN"/>
        </w:rPr>
      </w:pPr>
      <w:r>
        <w:rPr>
          <w:rFonts w:hint="eastAsia" w:ascii="楷体_GB2312" w:hAnsi="宋体" w:eastAsia="楷体_GB2312" w:cs="宋体"/>
          <w:bCs/>
          <w:sz w:val="30"/>
          <w:szCs w:val="30"/>
          <w:lang w:val="en-US" w:eastAsia="zh-CN"/>
        </w:rPr>
        <w:t>8.3</w:t>
      </w:r>
      <w:r>
        <w:rPr>
          <w:rFonts w:hint="eastAsia" w:ascii="楷体_GB2312" w:hAnsi="宋体" w:eastAsia="楷体_GB2312" w:cs="宋体"/>
          <w:bCs/>
          <w:sz w:val="30"/>
          <w:szCs w:val="30"/>
          <w:lang w:eastAsia="zh-CN"/>
        </w:rPr>
        <w:t>.</w:t>
      </w:r>
      <w:r>
        <w:rPr>
          <w:rFonts w:hint="eastAsia" w:ascii="楷体_GB2312" w:hAnsi="宋体" w:eastAsia="楷体_GB2312" w:cs="宋体"/>
          <w:bCs/>
          <w:sz w:val="30"/>
          <w:szCs w:val="30"/>
          <w:lang w:val="en-US" w:eastAsia="zh-CN"/>
        </w:rPr>
        <w:t>2</w:t>
      </w:r>
      <w:r>
        <w:rPr>
          <w:rFonts w:hint="eastAsia" w:ascii="楷体_GB2312" w:hAnsi="宋体" w:eastAsia="楷体_GB2312" w:cs="宋体"/>
          <w:bCs/>
          <w:sz w:val="30"/>
          <w:szCs w:val="30"/>
          <w:lang w:eastAsia="zh-CN"/>
        </w:rPr>
        <w:t xml:space="preserve"> 流转</w:t>
      </w:r>
      <w:r>
        <w:rPr>
          <w:rFonts w:hint="eastAsia" w:ascii="楷体_GB2312" w:hAnsi="宋体" w:eastAsia="楷体_GB2312" w:cs="宋体"/>
          <w:bCs/>
          <w:sz w:val="30"/>
          <w:szCs w:val="30"/>
          <w:lang w:val="en-US" w:eastAsia="zh-CN"/>
        </w:rPr>
        <w:t>期限及标准</w:t>
      </w:r>
    </w:p>
    <w:p w14:paraId="7BB96608">
      <w:pPr>
        <w:keepNext w:val="0"/>
        <w:keepLines w:val="0"/>
        <w:pageBreakBefore w:val="0"/>
        <w:widowControl w:val="0"/>
        <w:kinsoku/>
        <w:wordWrap/>
        <w:overflowPunct/>
        <w:topLinePunct w:val="0"/>
        <w:autoSpaceDE/>
        <w:autoSpaceDN/>
        <w:bidi w:val="0"/>
        <w:adjustRightInd/>
        <w:snapToGrid/>
        <w:spacing w:after="0" w:line="360" w:lineRule="auto"/>
        <w:ind w:left="0" w:leftChars="0" w:firstLine="562" w:firstLineChars="200"/>
        <w:jc w:val="both"/>
        <w:textAlignment w:val="auto"/>
        <w:rPr>
          <w:rFonts w:hint="eastAsia" w:ascii="Times New Roman" w:hAnsi="Times New Roman" w:eastAsia="仿宋_GB2312" w:cs="Times New Roman"/>
          <w:b/>
          <w:bCs w:val="0"/>
          <w:sz w:val="28"/>
          <w:szCs w:val="28"/>
          <w:lang w:eastAsia="zh-CN"/>
        </w:rPr>
      </w:pPr>
      <w:r>
        <w:rPr>
          <w:rFonts w:hint="eastAsia" w:ascii="Times New Roman" w:hAnsi="Times New Roman" w:eastAsia="仿宋_GB2312" w:cs="Times New Roman"/>
          <w:b/>
          <w:bCs w:val="0"/>
          <w:sz w:val="28"/>
          <w:szCs w:val="28"/>
          <w:lang w:val="en-US" w:eastAsia="zh-CN"/>
        </w:rPr>
        <w:t>（1）</w:t>
      </w:r>
      <w:r>
        <w:rPr>
          <w:rFonts w:hint="eastAsia" w:ascii="Times New Roman" w:hAnsi="Times New Roman" w:eastAsia="仿宋_GB2312" w:cs="Times New Roman"/>
          <w:b/>
          <w:bCs w:val="0"/>
          <w:sz w:val="28"/>
          <w:szCs w:val="28"/>
          <w:lang w:eastAsia="zh-CN"/>
        </w:rPr>
        <w:t>流转期限</w:t>
      </w:r>
    </w:p>
    <w:p w14:paraId="6F724A7A">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新造林和改造林流转期限原则上为5年。</w:t>
      </w:r>
    </w:p>
    <w:p w14:paraId="684A97CA">
      <w:pPr>
        <w:keepNext w:val="0"/>
        <w:keepLines w:val="0"/>
        <w:pageBreakBefore w:val="0"/>
        <w:widowControl w:val="0"/>
        <w:kinsoku/>
        <w:wordWrap/>
        <w:overflowPunct/>
        <w:topLinePunct w:val="0"/>
        <w:autoSpaceDE/>
        <w:autoSpaceDN/>
        <w:bidi w:val="0"/>
        <w:adjustRightInd/>
        <w:snapToGrid/>
        <w:spacing w:after="0" w:line="360" w:lineRule="auto"/>
        <w:ind w:left="0" w:leftChars="0" w:firstLine="562" w:firstLineChars="200"/>
        <w:jc w:val="both"/>
        <w:textAlignment w:val="auto"/>
        <w:rPr>
          <w:rFonts w:hint="eastAsia" w:ascii="Times New Roman" w:hAnsi="Times New Roman" w:eastAsia="仿宋_GB2312" w:cs="Times New Roman"/>
          <w:b/>
          <w:bCs w:val="0"/>
          <w:sz w:val="28"/>
          <w:szCs w:val="28"/>
          <w:lang w:eastAsia="zh-CN"/>
        </w:rPr>
      </w:pPr>
      <w:r>
        <w:rPr>
          <w:rFonts w:hint="eastAsia" w:ascii="Times New Roman" w:hAnsi="Times New Roman" w:eastAsia="仿宋_GB2312" w:cs="Times New Roman"/>
          <w:b/>
          <w:bCs w:val="0"/>
          <w:sz w:val="28"/>
          <w:szCs w:val="28"/>
          <w:lang w:eastAsia="zh-CN"/>
        </w:rPr>
        <w:t>（</w:t>
      </w:r>
      <w:r>
        <w:rPr>
          <w:rFonts w:hint="eastAsia" w:ascii="Times New Roman" w:hAnsi="Times New Roman" w:eastAsia="仿宋_GB2312" w:cs="Times New Roman"/>
          <w:b/>
          <w:bCs w:val="0"/>
          <w:sz w:val="28"/>
          <w:szCs w:val="28"/>
          <w:lang w:val="en-US" w:eastAsia="zh-CN"/>
        </w:rPr>
        <w:t>2</w:t>
      </w:r>
      <w:r>
        <w:rPr>
          <w:rFonts w:hint="eastAsia" w:ascii="Times New Roman" w:hAnsi="Times New Roman" w:eastAsia="仿宋_GB2312" w:cs="Times New Roman"/>
          <w:b/>
          <w:bCs w:val="0"/>
          <w:sz w:val="28"/>
          <w:szCs w:val="28"/>
          <w:lang w:eastAsia="zh-CN"/>
        </w:rPr>
        <w:t>）流转费标准</w:t>
      </w:r>
    </w:p>
    <w:p w14:paraId="2A4D8B3E">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1）用于油茶新造林的地块：100元/亩/年；现状为杉木、松木林、毛竹林等经济林的叠加补助50元/亩/年。</w:t>
      </w:r>
    </w:p>
    <w:p w14:paraId="29B3C861">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eastAsia="zh-CN"/>
        </w:rPr>
        <w:t>2）用于低产低效油茶林改造的地块：50元/亩/年。</w:t>
      </w:r>
    </w:p>
    <w:p w14:paraId="7145A6CD">
      <w:pPr>
        <w:pStyle w:val="4"/>
        <w:keepNext/>
        <w:keepLines/>
        <w:pageBreakBefore w:val="0"/>
        <w:widowControl w:val="0"/>
        <w:kinsoku/>
        <w:wordWrap/>
        <w:overflowPunct/>
        <w:topLinePunct w:val="0"/>
        <w:autoSpaceDE/>
        <w:autoSpaceDN/>
        <w:bidi w:val="0"/>
        <w:spacing w:before="163" w:beforeLines="50" w:after="163" w:afterLines="50"/>
        <w:jc w:val="left"/>
        <w:rPr>
          <w:rFonts w:hint="eastAsia" w:ascii="楷体_GB2312" w:hAnsi="宋体" w:eastAsia="楷体_GB2312" w:cs="宋体"/>
          <w:bCs/>
          <w:sz w:val="30"/>
          <w:szCs w:val="30"/>
          <w:lang w:eastAsia="zh-CN"/>
        </w:rPr>
      </w:pPr>
      <w:r>
        <w:rPr>
          <w:rFonts w:hint="eastAsia" w:ascii="楷体_GB2312" w:hAnsi="宋体" w:eastAsia="楷体_GB2312" w:cs="宋体"/>
          <w:bCs/>
          <w:sz w:val="30"/>
          <w:szCs w:val="30"/>
          <w:lang w:val="en-US" w:eastAsia="zh-CN"/>
        </w:rPr>
        <w:t>8.3</w:t>
      </w:r>
      <w:r>
        <w:rPr>
          <w:rFonts w:hint="eastAsia" w:ascii="楷体_GB2312" w:hAnsi="宋体" w:eastAsia="楷体_GB2312" w:cs="宋体"/>
          <w:bCs/>
          <w:sz w:val="30"/>
          <w:szCs w:val="30"/>
          <w:lang w:eastAsia="zh-CN"/>
        </w:rPr>
        <w:t>.2 地上附属物处置</w:t>
      </w:r>
    </w:p>
    <w:p w14:paraId="28732252">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r>
        <w:rPr>
          <w:rFonts w:hint="eastAsia" w:ascii="Times New Roman" w:hAnsi="Times New Roman" w:eastAsia="仿宋_GB2312" w:cs="Times New Roman"/>
          <w:bCs/>
          <w:sz w:val="28"/>
          <w:szCs w:val="28"/>
          <w:lang w:val="en-US" w:eastAsia="zh-CN"/>
        </w:rPr>
        <w:t>营</w:t>
      </w:r>
      <w:r>
        <w:rPr>
          <w:rFonts w:hint="eastAsia" w:ascii="Times New Roman" w:hAnsi="Times New Roman" w:eastAsia="仿宋_GB2312" w:cs="Times New Roman"/>
          <w:bCs/>
          <w:sz w:val="28"/>
          <w:szCs w:val="28"/>
          <w:lang w:eastAsia="zh-CN"/>
        </w:rPr>
        <w:t>造林地上的附属物按规定办理采伐许可证，由项目业主统一采伐，林权所有者自行处置，</w:t>
      </w:r>
      <w:r>
        <w:rPr>
          <w:rFonts w:hint="eastAsia" w:ascii="Times New Roman" w:hAnsi="Times New Roman" w:eastAsia="仿宋_GB2312" w:cs="Times New Roman"/>
          <w:bCs/>
          <w:sz w:val="28"/>
          <w:szCs w:val="28"/>
          <w:lang w:val="en-US" w:eastAsia="zh-CN"/>
        </w:rPr>
        <w:t>但马尾松等疫木需严格执行疫木清理为核心的防控策略，按照“510清干净”技术标准开展疫情集中除治和“即死即清”，疫木拉到指定疫木处置地点进行集中处置，彻底清除疫源</w:t>
      </w:r>
      <w:r>
        <w:rPr>
          <w:rFonts w:hint="eastAsia" w:ascii="Times New Roman" w:hAnsi="Times New Roman" w:eastAsia="仿宋_GB2312" w:cs="Times New Roman"/>
          <w:bCs/>
          <w:sz w:val="28"/>
          <w:szCs w:val="28"/>
          <w:lang w:eastAsia="zh-CN"/>
        </w:rPr>
        <w:t>。</w:t>
      </w:r>
    </w:p>
    <w:p w14:paraId="392614BC">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eastAsia="zh-CN"/>
        </w:rPr>
      </w:pPr>
    </w:p>
    <w:p w14:paraId="32766A1E">
      <w:pPr>
        <w:keepNext w:val="0"/>
        <w:keepLines w:val="0"/>
        <w:pageBreakBefore w:val="0"/>
        <w:widowControl w:val="0"/>
        <w:kinsoku/>
        <w:wordWrap/>
        <w:overflowPunct/>
        <w:topLinePunct w:val="0"/>
        <w:autoSpaceDE/>
        <w:autoSpaceDN/>
        <w:bidi w:val="0"/>
        <w:adjustRightInd/>
        <w:snapToGrid/>
        <w:spacing w:after="0" w:line="360" w:lineRule="auto"/>
        <w:ind w:left="0" w:leftChars="0" w:firstLine="560" w:firstLineChars="200"/>
        <w:jc w:val="both"/>
        <w:textAlignment w:val="auto"/>
        <w:rPr>
          <w:rFonts w:hint="eastAsia" w:ascii="Times New Roman" w:hAnsi="Times New Roman" w:eastAsia="仿宋_GB2312" w:cs="Times New Roman"/>
          <w:bCs/>
          <w:sz w:val="28"/>
          <w:szCs w:val="28"/>
          <w:lang w:val="en-US" w:eastAsia="zh-CN"/>
        </w:rPr>
      </w:pPr>
      <w:r>
        <w:rPr>
          <w:rFonts w:hint="eastAsia" w:ascii="Times New Roman" w:hAnsi="Times New Roman" w:eastAsia="仿宋_GB2312" w:cs="Times New Roman"/>
          <w:bCs/>
          <w:sz w:val="28"/>
          <w:szCs w:val="28"/>
          <w:lang w:val="en-US" w:eastAsia="zh-CN"/>
        </w:rPr>
        <w:br w:type="page"/>
      </w:r>
    </w:p>
    <w:p w14:paraId="37FA0B4F">
      <w:pPr>
        <w:pStyle w:val="2"/>
        <w:pageBreakBefore w:val="0"/>
        <w:widowControl w:val="0"/>
        <w:kinsoku/>
        <w:wordWrap/>
        <w:overflowPunct/>
        <w:topLinePunct w:val="0"/>
        <w:bidi w:val="0"/>
        <w:snapToGrid/>
        <w:spacing w:before="326" w:beforeLines="100" w:after="326" w:afterLines="100" w:line="360" w:lineRule="auto"/>
        <w:ind w:right="0" w:rightChars="0" w:firstLine="0" w:firstLineChars="0"/>
        <w:jc w:val="center"/>
        <w:rPr>
          <w:rFonts w:hint="eastAsia" w:ascii="黑体" w:hAnsi="黑体" w:eastAsia="黑体" w:cs="Times New Roman"/>
          <w:b/>
          <w:bCs w:val="0"/>
          <w:sz w:val="36"/>
          <w:szCs w:val="36"/>
          <w:lang w:val="en-US" w:eastAsia="zh-CN"/>
        </w:rPr>
      </w:pPr>
      <w:bookmarkStart w:id="556" w:name="_Toc26596"/>
      <w:bookmarkStart w:id="557" w:name="_Toc11605"/>
      <w:r>
        <w:rPr>
          <w:rFonts w:hint="eastAsia" w:cs="Times New Roman"/>
          <w:b/>
          <w:bCs w:val="0"/>
          <w:sz w:val="36"/>
          <w:szCs w:val="36"/>
          <w:lang w:val="en-US" w:eastAsia="zh-CN"/>
        </w:rPr>
        <w:t xml:space="preserve">第九章 </w:t>
      </w:r>
      <w:r>
        <w:rPr>
          <w:rFonts w:hint="eastAsia" w:ascii="黑体" w:hAnsi="黑体" w:eastAsia="黑体" w:cs="Times New Roman"/>
          <w:b/>
          <w:bCs w:val="0"/>
          <w:sz w:val="36"/>
          <w:szCs w:val="36"/>
          <w:lang w:val="en-US" w:eastAsia="zh-CN"/>
        </w:rPr>
        <w:t>招投标管理</w:t>
      </w:r>
      <w:bookmarkEnd w:id="556"/>
      <w:bookmarkEnd w:id="557"/>
    </w:p>
    <w:p w14:paraId="3F3D5E15">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558" w:name="_Toc21319"/>
      <w:bookmarkStart w:id="559" w:name="_Toc19720"/>
      <w:r>
        <w:rPr>
          <w:rFonts w:hint="eastAsia" w:ascii="黑体" w:hAnsi="黑体" w:cs="Times New Roman"/>
          <w:bCs w:val="0"/>
          <w:kern w:val="0"/>
          <w:sz w:val="32"/>
          <w:szCs w:val="32"/>
          <w:lang w:val="en-US" w:eastAsia="zh-CN"/>
        </w:rPr>
        <w:t>9.1招标范围</w:t>
      </w:r>
      <w:bookmarkEnd w:id="558"/>
      <w:bookmarkEnd w:id="559"/>
    </w:p>
    <w:p w14:paraId="70C6F2FA">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根据《中华人民共和国招标投标法》《中华人民共和国政府采购法》《中华人民共和国招标投标法实施条例》《必须招标的工程项目规定》（国家发展计划委员会令第16号），常山县相关文件自行补充等规定，项目招标范围包括项目营造林工程（包括苗木采购）、水肥一体化工程和作业道路工程等内容。</w:t>
      </w:r>
    </w:p>
    <w:p w14:paraId="271EFF31">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560" w:name="_Toc556"/>
      <w:bookmarkStart w:id="561" w:name="_Toc29485"/>
      <w:r>
        <w:rPr>
          <w:rFonts w:hint="eastAsia" w:ascii="黑体" w:hAnsi="黑体" w:cs="Times New Roman"/>
          <w:bCs w:val="0"/>
          <w:kern w:val="0"/>
          <w:sz w:val="32"/>
          <w:szCs w:val="32"/>
          <w:lang w:val="en-US" w:eastAsia="zh-CN"/>
        </w:rPr>
        <w:t>9.2招标组织形式</w:t>
      </w:r>
      <w:bookmarkEnd w:id="560"/>
      <w:bookmarkEnd w:id="561"/>
    </w:p>
    <w:p w14:paraId="47B7B58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项目采取委托招标的形式，由建设项目委托招标代理机构完成。委托招标应在具备下列条件的招标代理机构中自行确定，但招标方案核准前，不得与任何招标代理机构签订代理合同：</w:t>
      </w:r>
    </w:p>
    <w:p w14:paraId="318BEFB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1.具有与招标项目性质和规模相适应的招标代理资质等级；</w:t>
      </w:r>
    </w:p>
    <w:p w14:paraId="073BBA9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2.应在工商行政主管部门进行注册登记并符合经营范围的要求；</w:t>
      </w:r>
    </w:p>
    <w:p w14:paraId="0CF79620">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3.没有发生严重违法行为。</w:t>
      </w:r>
    </w:p>
    <w:p w14:paraId="135D576D">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562" w:name="_Toc23613"/>
      <w:bookmarkStart w:id="563" w:name="_Toc11000"/>
      <w:r>
        <w:rPr>
          <w:rFonts w:hint="eastAsia" w:ascii="黑体" w:hAnsi="黑体" w:cs="Times New Roman"/>
          <w:bCs w:val="0"/>
          <w:kern w:val="0"/>
          <w:sz w:val="32"/>
          <w:szCs w:val="32"/>
          <w:lang w:val="en-US" w:eastAsia="zh-CN"/>
        </w:rPr>
        <w:t>9.3招标工作安排</w:t>
      </w:r>
      <w:bookmarkEnd w:id="562"/>
      <w:bookmarkEnd w:id="563"/>
    </w:p>
    <w:p w14:paraId="69C9B4CD">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（1）编制招标文件</w:t>
      </w:r>
    </w:p>
    <w:p w14:paraId="2CAA83D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由招投标代理公司按照我国《招投标法》的规定，由招标单位或委托的咨询单位编制发布。</w:t>
      </w:r>
    </w:p>
    <w:p w14:paraId="4D85A0F3">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（2）踏勘现场与召开投标预备会</w:t>
      </w:r>
    </w:p>
    <w:p w14:paraId="364D229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招标人根据招标项目的具体情况，可以组织潜在投标人踏勘项目 现场，向其介绍工程场地和相关环境的有关情况。投标人在领取招标 文件、图纸和有关技术资料及踏勘现场后提出疑问，招标人以书面或会议的方式进行必要的解答。</w:t>
      </w:r>
    </w:p>
    <w:p w14:paraId="774AE2B8">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（3）项目投标</w:t>
      </w:r>
    </w:p>
    <w:p w14:paraId="495903A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包括投标前的准备和投标文件的编制与递交两部分重要工作。</w:t>
      </w:r>
    </w:p>
    <w:p w14:paraId="63B3F183">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（4）开标、评标和定标</w:t>
      </w:r>
    </w:p>
    <w:p w14:paraId="10355AD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开标、评标和定标是非常重要的环节。必须按照相关法规和规定 的要求，客观、公正地评标、定标，由招标人依法组建评标委员会， 负责评标活动，向业主单位推荐中标候选人或者根据业主单位的授权 直接确定中标人。评标委员会由项目建设办公室或其委托的招标代理机构熟悉相关业务的代表，以及有关技术、经济等方面的专家组成。</w:t>
      </w:r>
    </w:p>
    <w:p w14:paraId="4515DC0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最终选择最合适的承包人，从而顺利进入到项目建设的实施阶段。</w:t>
      </w:r>
    </w:p>
    <w:p w14:paraId="12EF0B9A">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564" w:name="_Toc14836"/>
      <w:bookmarkStart w:id="565" w:name="_Toc2325"/>
      <w:r>
        <w:rPr>
          <w:rFonts w:hint="eastAsia" w:ascii="黑体" w:hAnsi="黑体" w:cs="Times New Roman"/>
          <w:bCs w:val="0"/>
          <w:kern w:val="0"/>
          <w:sz w:val="32"/>
          <w:szCs w:val="32"/>
          <w:lang w:val="en-US" w:eastAsia="zh-CN"/>
        </w:rPr>
        <w:t>9.4招标方式</w:t>
      </w:r>
      <w:bookmarkEnd w:id="564"/>
      <w:bookmarkEnd w:id="565"/>
    </w:p>
    <w:p w14:paraId="68A9F1D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项目总投资概算668.87万元，其中工程费546.61万元，林地流转费58.12万元，其他费用57.52万元，预备费6.62万元。工程费用中营造林工程432.56万元，水肥一体化工程98.77万元，水肥一体配套电源及电费8.56万元，作业道路工程6.72万元。其他费用中建设单位管理费12.57万元，建设管理其他费9.84万元，工程监理费14.22万元，使用林地咨询费3.00万元，勘察设计费10.93万元，环境影响咨询服务费1.50万元，场地准备及临时设施费4.37万元，工程保险费1.09万元。</w:t>
      </w:r>
    </w:p>
    <w:p w14:paraId="4295573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根据各分项类别及投资概算额度，选择公开招标或竞争性磋商等方式，其中营造林工程、水肥一体化工程、作业道路工程以乡镇为单位采用公开招标方式，监理分批采用竞争性磋商方式。</w:t>
      </w:r>
    </w:p>
    <w:p w14:paraId="35CE093C">
      <w:pPr>
        <w:keepNext w:val="0"/>
        <w:keepLines w:val="0"/>
        <w:pageBreakBefore w:val="0"/>
        <w:widowControl w:val="0"/>
        <w:kinsoku/>
        <w:wordWrap/>
        <w:overflowPunct/>
        <w:topLinePunct w:val="0"/>
        <w:autoSpaceDE w:val="0"/>
        <w:autoSpaceDN w:val="0"/>
        <w:bidi w:val="0"/>
        <w:adjustRightInd/>
        <w:snapToGrid/>
        <w:spacing w:after="0" w:line="360" w:lineRule="auto"/>
        <w:ind w:left="0" w:leftChars="0" w:firstLine="560" w:firstLineChars="200"/>
        <w:jc w:val="both"/>
        <w:textAlignment w:val="auto"/>
        <w:rPr>
          <w:rFonts w:ascii="仿宋" w:hAnsi="仿宋" w:eastAsia="仿宋" w:cs="仿宋"/>
          <w:sz w:val="28"/>
          <w:szCs w:val="28"/>
          <w:lang w:eastAsia="zh-CN"/>
        </w:rPr>
      </w:pPr>
    </w:p>
    <w:p w14:paraId="0AA9799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p>
    <w:p w14:paraId="6EBABCF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p>
    <w:p w14:paraId="785538F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p>
    <w:p w14:paraId="6E382B0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p>
    <w:p w14:paraId="6B59A9C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p>
    <w:p w14:paraId="43D416C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566" w:name="_Toc50229560"/>
      <w:bookmarkStart w:id="567" w:name="_Toc28684"/>
      <w:bookmarkStart w:id="568" w:name="_Toc650"/>
      <w:bookmarkStart w:id="569" w:name="_Toc12188"/>
      <w:bookmarkStart w:id="570" w:name="_Toc4777"/>
      <w:bookmarkStart w:id="571" w:name="_Toc15235"/>
      <w:bookmarkStart w:id="572" w:name="_Toc31890"/>
      <w:bookmarkStart w:id="573" w:name="_Toc21867"/>
      <w:bookmarkStart w:id="574" w:name="_Toc25945"/>
      <w:r>
        <w:rPr>
          <w:rFonts w:hint="eastAsia" w:ascii="Times New Roman" w:hAnsi="Times New Roman" w:eastAsia="仿宋_GB2312" w:cs="Times New Roman"/>
          <w:bCs/>
          <w:kern w:val="0"/>
          <w:sz w:val="28"/>
          <w:szCs w:val="28"/>
          <w:lang w:val="en-US" w:eastAsia="zh-CN"/>
        </w:rPr>
        <w:br w:type="page"/>
      </w:r>
    </w:p>
    <w:p w14:paraId="07BFFD91">
      <w:pPr>
        <w:pStyle w:val="2"/>
        <w:pageBreakBefore w:val="0"/>
        <w:widowControl w:val="0"/>
        <w:kinsoku/>
        <w:wordWrap/>
        <w:overflowPunct/>
        <w:topLinePunct w:val="0"/>
        <w:bidi w:val="0"/>
        <w:snapToGrid/>
        <w:spacing w:before="326" w:beforeLines="100" w:after="326" w:afterLines="100" w:line="360" w:lineRule="auto"/>
        <w:ind w:right="0" w:rightChars="0" w:firstLine="0" w:firstLineChars="0"/>
        <w:jc w:val="center"/>
        <w:rPr>
          <w:rFonts w:hint="default" w:ascii="黑体" w:hAnsi="黑体" w:eastAsia="黑体" w:cs="Times New Roman"/>
          <w:b/>
          <w:bCs w:val="0"/>
          <w:sz w:val="36"/>
          <w:szCs w:val="36"/>
          <w:lang w:val="en-US" w:eastAsia="zh-CN"/>
        </w:rPr>
      </w:pPr>
      <w:bookmarkStart w:id="575" w:name="_Toc4527"/>
      <w:bookmarkStart w:id="576" w:name="_Toc15498"/>
      <w:bookmarkStart w:id="577" w:name="_Toc1345"/>
      <w:r>
        <w:rPr>
          <w:rFonts w:hint="eastAsia" w:ascii="黑体" w:hAnsi="黑体" w:eastAsia="黑体" w:cs="Times New Roman"/>
          <w:b/>
          <w:bCs w:val="0"/>
          <w:sz w:val="36"/>
          <w:szCs w:val="36"/>
          <w:lang w:val="en-US" w:eastAsia="zh-CN"/>
        </w:rPr>
        <w:t>第</w:t>
      </w:r>
      <w:r>
        <w:rPr>
          <w:rFonts w:hint="eastAsia" w:cs="Times New Roman"/>
          <w:b/>
          <w:bCs w:val="0"/>
          <w:sz w:val="36"/>
          <w:szCs w:val="36"/>
          <w:lang w:val="en-US" w:eastAsia="zh-CN"/>
        </w:rPr>
        <w:t>十</w:t>
      </w:r>
      <w:r>
        <w:rPr>
          <w:rFonts w:hint="eastAsia" w:ascii="黑体" w:hAnsi="黑体" w:eastAsia="黑体" w:cs="Times New Roman"/>
          <w:b/>
          <w:bCs w:val="0"/>
          <w:sz w:val="36"/>
          <w:szCs w:val="36"/>
          <w:lang w:val="en-US" w:eastAsia="zh-CN"/>
        </w:rPr>
        <w:t xml:space="preserve">章 </w:t>
      </w:r>
      <w:r>
        <w:rPr>
          <w:rFonts w:hint="eastAsia" w:cs="Times New Roman"/>
          <w:b/>
          <w:bCs w:val="0"/>
          <w:sz w:val="36"/>
          <w:szCs w:val="36"/>
          <w:lang w:val="en-US" w:eastAsia="zh-CN"/>
        </w:rPr>
        <w:t>施工组织</w:t>
      </w:r>
      <w:bookmarkEnd w:id="575"/>
      <w:bookmarkEnd w:id="576"/>
      <w:bookmarkEnd w:id="577"/>
      <w:r>
        <w:rPr>
          <w:rFonts w:hint="eastAsia" w:cs="Times New Roman"/>
          <w:b/>
          <w:bCs w:val="0"/>
          <w:sz w:val="36"/>
          <w:szCs w:val="36"/>
          <w:lang w:val="en-US" w:eastAsia="zh-CN"/>
        </w:rPr>
        <w:t>方案</w:t>
      </w:r>
    </w:p>
    <w:p w14:paraId="09E9828F">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578" w:name="_Toc1372"/>
      <w:bookmarkStart w:id="579" w:name="_Toc18883"/>
      <w:bookmarkStart w:id="580" w:name="_Toc28229"/>
      <w:r>
        <w:rPr>
          <w:rFonts w:hint="eastAsia" w:ascii="黑体" w:hAnsi="黑体" w:cs="Times New Roman"/>
          <w:bCs w:val="0"/>
          <w:kern w:val="0"/>
          <w:sz w:val="32"/>
          <w:szCs w:val="32"/>
          <w:lang w:val="en-US" w:eastAsia="zh-CN"/>
        </w:rPr>
        <w:t>10.1施工组织</w:t>
      </w:r>
      <w:bookmarkEnd w:id="566"/>
      <w:bookmarkEnd w:id="567"/>
      <w:bookmarkEnd w:id="568"/>
      <w:bookmarkEnd w:id="569"/>
      <w:bookmarkEnd w:id="570"/>
      <w:bookmarkEnd w:id="571"/>
      <w:bookmarkEnd w:id="572"/>
      <w:bookmarkEnd w:id="573"/>
      <w:bookmarkEnd w:id="574"/>
      <w:bookmarkEnd w:id="578"/>
      <w:bookmarkEnd w:id="579"/>
      <w:bookmarkEnd w:id="580"/>
    </w:p>
    <w:p w14:paraId="372566FC">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10.1.1确定施工单位</w:t>
      </w:r>
    </w:p>
    <w:p w14:paraId="187C125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按照林业工程建设要求，通过公开招投标择优确定施工单位。施工单位应具有符合规定的技术力量、丰富的建设经验、良好的项目业绩，并以合同形式明确双方的权利和义务。</w:t>
      </w:r>
    </w:p>
    <w:p w14:paraId="154C8EE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在组织施工队伍时，要积极吸纳当地农村人员参与造林施工作业，以增加周边社区人员劳务收入，以油茶产业发展促进共同富裕。</w:t>
      </w:r>
    </w:p>
    <w:p w14:paraId="2677B892">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10.1.2施工流程</w:t>
      </w:r>
    </w:p>
    <w:p w14:paraId="7598053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造林施工前，施工单位要精心组织施工队伍，确定施工流程和工作步骤，按计划组织施工作业。</w:t>
      </w:r>
    </w:p>
    <w:p w14:paraId="2B7E2AF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施工组织基本流程包括：组建施工队伍--施工准备（参加技术交底、组织技术培训、材料准备、场地准备、机具准备、作业道路准备）--采伐--林地清理--造林整地（同步进行作业道路施工）--树穴放线定位--挖穴--苗木起运与假植--苗木栽植--浇水（按需）--苗木补植抚育--造林地管护--水肥一体化建设。</w:t>
      </w:r>
    </w:p>
    <w:p w14:paraId="70082CE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本项目造林施工主要分三个阶段实施：</w:t>
      </w:r>
    </w:p>
    <w:p w14:paraId="370F731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准备与整地阶段（2024年12月-205年1月）。全面做好项目实施前的各项准备工作，包括林地流转、招标准备、组织招标、施工方案编制、施工设计、修建作业道路与灌溉设施、苗木订购等，施工单位通过精心组织、周密计划，全面如期完成整地挖穴任务。</w:t>
      </w:r>
    </w:p>
    <w:p w14:paraId="4B8F602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植树造林阶段（2025年1月-2025年3月）。组织设计单位、施工单位、监理单位进行技术交底，落实造林地块，明确技术要求，同时选定苗木供应地，做好苗木采购运输，按项目进度要求全面完成造林地上附属物清理、苗木栽植造林工作。</w:t>
      </w:r>
    </w:p>
    <w:p w14:paraId="12C8702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（3）抚育管护阶段（2025年3月-2029年3月）。对造林地块及时开展浇水、除草、松土等，对成活率较低的地块进行补植。必要时建设围栏设施，对造林地实行精细化集约化管护，开展病虫害防治与森林防火。</w:t>
      </w:r>
    </w:p>
    <w:p w14:paraId="7C717305">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10.1.3质量监督管理</w:t>
      </w:r>
    </w:p>
    <w:p w14:paraId="46174C6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建立健全质量管理机构，质量管理组织机构由建设、设计、监理、施工、行业质检、检疫等单位组成。各单位按照职责开展相关工作。</w:t>
      </w:r>
    </w:p>
    <w:p w14:paraId="5892EDB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（1）严把技术交底关。设计单位向施工和监理人员进行造林设计技术交底，解答处理施工、监理单位针对造林设计中提出的问题，确保按技术要求进行施工。</w:t>
      </w:r>
    </w:p>
    <w:p w14:paraId="2A09435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（2）严把苗木质量关。监理单位严格按照设计苗木规格要求验收苗木。要严格苗木检疫措施，所有苗木都须具备“三证一签”（生产经营许可证、良种证、检疫证、品种标签） 。要建立苗木交接、验收手续。异地调苗、长途运苗应采取护根措施。对当天没有栽植苗木须按要求假植，假植天数不得超过1天。</w:t>
      </w:r>
    </w:p>
    <w:p w14:paraId="706ADA3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（3）严把栽植关。造林施工中苗木搬运要轻拿轻放，防止苗木损伤、土球散落。栽植要扶正、夯实，浇头遍水的时间必须在3天内完成。</w:t>
      </w:r>
    </w:p>
    <w:p w14:paraId="5DD8904D">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10.1.4劳动安全措施</w:t>
      </w:r>
    </w:p>
    <w:p w14:paraId="04225C9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在项目实施过程中应贯彻“安全第一，预防为主”的劳动保护方针，坚持以人为本原则，加强安全教育，制定落实安全规章制度，切实保障生产安全，确保项目顺利实施。</w:t>
      </w:r>
    </w:p>
    <w:p w14:paraId="41B6C86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一是按照相关规定，制定和落实各项劳动安全规章制度；</w:t>
      </w:r>
    </w:p>
    <w:p w14:paraId="3ACB913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二是将安全责任落实到施工单位；</w:t>
      </w:r>
    </w:p>
    <w:p w14:paraId="1A986DD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三是定期组织安全检查，发现问题和隐患及时整改；</w:t>
      </w:r>
    </w:p>
    <w:p w14:paraId="39F975F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四是加强安全宣传教育，增强安全意识和自身保护；</w:t>
      </w:r>
    </w:p>
    <w:p w14:paraId="25162EE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五是积极改善劳动条件，有条件地设置工地作业工棚，供施工人员避雨休息。</w:t>
      </w:r>
    </w:p>
    <w:p w14:paraId="115D05A0">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rPr>
          <w:rFonts w:hint="eastAsia" w:ascii="楷体_GB2312" w:hAnsi="宋体" w:eastAsia="楷体_GB2312" w:cs="宋体"/>
          <w:b/>
          <w:bCs/>
          <w:kern w:val="0"/>
          <w:sz w:val="30"/>
          <w:szCs w:val="30"/>
          <w:lang w:val="en-US" w:eastAsia="zh-CN"/>
        </w:rPr>
      </w:pPr>
      <w:r>
        <w:rPr>
          <w:rFonts w:hint="eastAsia" w:ascii="楷体_GB2312" w:hAnsi="宋体" w:eastAsia="楷体_GB2312" w:cs="宋体"/>
          <w:b/>
          <w:bCs/>
          <w:kern w:val="0"/>
          <w:sz w:val="30"/>
          <w:szCs w:val="30"/>
          <w:lang w:val="en-US" w:eastAsia="zh-CN"/>
        </w:rPr>
        <w:t>10.1.5文明施工</w:t>
      </w:r>
    </w:p>
    <w:p w14:paraId="53A091B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要对施工现场的设备、材料堆放、场地道路、临时生产和生活设施进行统一合理布局。工程竣工后，做到“工完料净、场地清”，工地及四周环境及时清理干净，保证项目区域道路畅通。</w:t>
      </w:r>
    </w:p>
    <w:p w14:paraId="7E530FC7">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581" w:name="_Toc27468"/>
      <w:bookmarkStart w:id="582" w:name="_Toc50229561"/>
      <w:bookmarkStart w:id="583" w:name="_Toc3953"/>
      <w:bookmarkStart w:id="584" w:name="_Toc27186"/>
      <w:bookmarkStart w:id="585" w:name="_Toc16147"/>
      <w:bookmarkStart w:id="586" w:name="_Toc276"/>
      <w:bookmarkStart w:id="587" w:name="_Toc17652"/>
      <w:bookmarkStart w:id="588" w:name="_Toc17139"/>
      <w:bookmarkStart w:id="589" w:name="_Toc31609"/>
      <w:bookmarkStart w:id="590" w:name="_Toc32393"/>
      <w:bookmarkStart w:id="591" w:name="_Toc15308"/>
      <w:bookmarkStart w:id="592" w:name="_Toc18060"/>
      <w:r>
        <w:rPr>
          <w:rFonts w:hint="eastAsia" w:ascii="黑体" w:hAnsi="黑体" w:cs="Times New Roman"/>
          <w:bCs w:val="0"/>
          <w:kern w:val="0"/>
          <w:sz w:val="32"/>
          <w:szCs w:val="32"/>
          <w:lang w:val="en-US" w:eastAsia="zh-CN"/>
        </w:rPr>
        <w:t>10.2项目检查验收</w:t>
      </w:r>
      <w:bookmarkEnd w:id="581"/>
      <w:bookmarkEnd w:id="582"/>
      <w:bookmarkEnd w:id="583"/>
      <w:bookmarkEnd w:id="584"/>
      <w:bookmarkEnd w:id="585"/>
      <w:bookmarkEnd w:id="586"/>
      <w:bookmarkEnd w:id="587"/>
      <w:bookmarkEnd w:id="588"/>
      <w:bookmarkEnd w:id="589"/>
      <w:bookmarkEnd w:id="590"/>
      <w:bookmarkEnd w:id="591"/>
      <w:bookmarkEnd w:id="592"/>
    </w:p>
    <w:p w14:paraId="3843B24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项目各阶段施工完成后，项目建设单位组织施工单位进行自查验收并提交自查报告。上级林业主管部门在自查验收基础上，主动邀请财政部门参与检查验收，按照国家林业和草原局《造林质量管理暂行办法》《造林技术规程》《浙江省油茶新种与低产林改造技术指南》要求组织检查验收，对项目是否符合审批程序、设计要求、项目管理及质量规范、资金使用规定及投资效益、项目运行管理要求等作出评价。</w:t>
      </w:r>
    </w:p>
    <w:p w14:paraId="04F5F62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验收的主要内容：一是项目执行情况，是否按建设规模和年度计划完成任务；二是项目建设质量，根据造林作业设计，按有关技术标准验收项目是否达到设计要求；三是资金使用情况，重点审查资金到位、管理、使用情况；四是档案管理，重点验收档案管理是否规范。</w:t>
      </w:r>
    </w:p>
    <w:p w14:paraId="2AF79820">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default" w:ascii="黑体" w:hAnsi="黑体" w:cs="Times New Roman"/>
          <w:bCs w:val="0"/>
          <w:kern w:val="0"/>
          <w:sz w:val="32"/>
          <w:szCs w:val="32"/>
          <w:lang w:val="en-US" w:eastAsia="zh-CN"/>
        </w:rPr>
      </w:pPr>
      <w:bookmarkStart w:id="593" w:name="_Toc26498"/>
      <w:bookmarkStart w:id="594" w:name="_Toc9998"/>
      <w:bookmarkStart w:id="595" w:name="_Toc28804"/>
      <w:bookmarkStart w:id="596" w:name="_Toc12529"/>
      <w:r>
        <w:rPr>
          <w:rFonts w:hint="eastAsia" w:ascii="黑体" w:hAnsi="黑体" w:cs="Times New Roman"/>
          <w:bCs w:val="0"/>
          <w:kern w:val="0"/>
          <w:sz w:val="32"/>
          <w:szCs w:val="32"/>
          <w:lang w:val="en-US" w:eastAsia="zh-CN"/>
        </w:rPr>
        <w:t>10.3进度安排</w:t>
      </w:r>
      <w:bookmarkEnd w:id="593"/>
      <w:bookmarkEnd w:id="594"/>
    </w:p>
    <w:p w14:paraId="07D5C93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2024年10-11月：落实造林地块，进行造林小班现状调查，编制作业设计；</w:t>
      </w:r>
    </w:p>
    <w:p w14:paraId="3D563DC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2024年11-12月：完成方案审批及办理采伐证、林区道路用地手续，开展林地流转，林木采伐等，同时确定项目施工单位、监理单位等；</w:t>
      </w:r>
    </w:p>
    <w:p w14:paraId="4F96D55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2024年12月至2025年3月：组织营造林施工，整地、栽植，开展作业道路建设，同步开展水肥一体化及施工质量监管；</w:t>
      </w:r>
    </w:p>
    <w:p w14:paraId="62BE903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2025年3月至2029年3月：浇水、抚育管护与补植，组织开展造林自查和年度检查验收；</w:t>
      </w:r>
    </w:p>
    <w:p w14:paraId="18BDF41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2029年3月以后：迎接国家林草局组织验收。</w:t>
      </w:r>
    </w:p>
    <w:p w14:paraId="3497A20E">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597" w:name="_Toc28847"/>
      <w:bookmarkStart w:id="598" w:name="_Toc12450"/>
      <w:r>
        <w:rPr>
          <w:rFonts w:hint="eastAsia" w:ascii="黑体" w:hAnsi="黑体" w:cs="Times New Roman"/>
          <w:bCs w:val="0"/>
          <w:kern w:val="0"/>
          <w:sz w:val="32"/>
          <w:szCs w:val="32"/>
          <w:lang w:val="en-US" w:eastAsia="zh-CN"/>
        </w:rPr>
        <w:t>10.4绩效管理</w:t>
      </w:r>
      <w:bookmarkEnd w:id="595"/>
      <w:bookmarkEnd w:id="596"/>
      <w:bookmarkEnd w:id="597"/>
      <w:bookmarkEnd w:id="598"/>
    </w:p>
    <w:p w14:paraId="5DCF2A1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各级主管部门要高度重视绩效管理，督促和指导当地管理部门及建设单位严格按照中央预算内投资绩效管理的要求，组织实施项目建设，按期完成项目建设任务。项目建设范围要加强项目建设监督管理，监督、指导施工单位保证造林工程项目进度和质量，切实发挥“2023年中央财政油茶产业发展示范奖补项目”（常山县油茶产业扩面提质示范建设项目的主项目）投资效益，并积极配合做好绩效考核工作。</w:t>
      </w:r>
    </w:p>
    <w:p w14:paraId="62AFE03D">
      <w:pPr>
        <w:pageBreakBefore w:val="0"/>
        <w:widowControl w:val="0"/>
        <w:kinsoku/>
        <w:wordWrap/>
        <w:overflowPunct/>
        <w:topLinePunct w:val="0"/>
        <w:bidi w:val="0"/>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br w:type="page"/>
      </w:r>
    </w:p>
    <w:p w14:paraId="4FF18505">
      <w:pPr>
        <w:pStyle w:val="2"/>
        <w:pageBreakBefore w:val="0"/>
        <w:widowControl w:val="0"/>
        <w:kinsoku/>
        <w:wordWrap/>
        <w:overflowPunct/>
        <w:topLinePunct w:val="0"/>
        <w:bidi w:val="0"/>
        <w:snapToGrid/>
        <w:spacing w:before="326" w:beforeLines="100" w:after="326" w:afterLines="100" w:line="360" w:lineRule="auto"/>
        <w:ind w:right="0" w:rightChars="0" w:firstLine="0" w:firstLineChars="0"/>
        <w:jc w:val="center"/>
        <w:rPr>
          <w:rFonts w:hint="eastAsia" w:ascii="黑体" w:hAnsi="黑体" w:eastAsia="黑体" w:cs="Times New Roman"/>
          <w:b/>
          <w:bCs w:val="0"/>
          <w:sz w:val="36"/>
          <w:szCs w:val="36"/>
          <w:lang w:val="en-US" w:eastAsia="zh-CN"/>
        </w:rPr>
      </w:pPr>
      <w:bookmarkStart w:id="599" w:name="_Toc5296"/>
      <w:bookmarkStart w:id="600" w:name="_Toc17294"/>
      <w:r>
        <w:rPr>
          <w:rFonts w:hint="eastAsia" w:ascii="黑体" w:hAnsi="黑体" w:eastAsia="黑体" w:cs="Times New Roman"/>
          <w:b/>
          <w:bCs w:val="0"/>
          <w:sz w:val="36"/>
          <w:szCs w:val="36"/>
          <w:lang w:val="en-US" w:eastAsia="zh-CN"/>
        </w:rPr>
        <w:t>第</w:t>
      </w:r>
      <w:r>
        <w:rPr>
          <w:rFonts w:hint="eastAsia" w:cs="Times New Roman"/>
          <w:b/>
          <w:bCs w:val="0"/>
          <w:sz w:val="36"/>
          <w:szCs w:val="36"/>
          <w:lang w:val="en-US" w:eastAsia="zh-CN"/>
        </w:rPr>
        <w:t>十一</w:t>
      </w:r>
      <w:r>
        <w:rPr>
          <w:rFonts w:hint="eastAsia" w:ascii="黑体" w:hAnsi="黑体" w:eastAsia="黑体" w:cs="Times New Roman"/>
          <w:b/>
          <w:bCs w:val="0"/>
          <w:sz w:val="36"/>
          <w:szCs w:val="36"/>
          <w:lang w:val="en-US" w:eastAsia="zh-CN"/>
        </w:rPr>
        <w:t xml:space="preserve">章 </w:t>
      </w:r>
      <w:r>
        <w:rPr>
          <w:rFonts w:hint="eastAsia" w:cs="Times New Roman"/>
          <w:b/>
          <w:bCs w:val="0"/>
          <w:sz w:val="36"/>
          <w:szCs w:val="36"/>
          <w:lang w:val="en-US" w:eastAsia="zh-CN"/>
        </w:rPr>
        <w:t>投资概算及资金筹措</w:t>
      </w:r>
      <w:bookmarkEnd w:id="599"/>
      <w:bookmarkEnd w:id="600"/>
    </w:p>
    <w:p w14:paraId="71B9695F">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601" w:name="_Toc7938"/>
      <w:bookmarkStart w:id="602" w:name="_Toc1736"/>
      <w:r>
        <w:rPr>
          <w:rFonts w:hint="eastAsia" w:ascii="黑体" w:hAnsi="黑体" w:cs="Times New Roman"/>
          <w:bCs w:val="0"/>
          <w:kern w:val="0"/>
          <w:sz w:val="32"/>
          <w:szCs w:val="32"/>
          <w:lang w:val="en-US" w:eastAsia="zh-CN"/>
        </w:rPr>
        <w:t>11.1 投资概算</w:t>
      </w:r>
      <w:bookmarkEnd w:id="601"/>
      <w:bookmarkEnd w:id="602"/>
    </w:p>
    <w:p w14:paraId="7F91AA9F">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outlineLvl w:val="1"/>
        <w:rPr>
          <w:rFonts w:hint="default" w:ascii="楷体_GB2312" w:hAnsi="宋体" w:eastAsia="楷体_GB2312" w:cs="宋体"/>
          <w:b/>
          <w:bCs/>
          <w:kern w:val="0"/>
          <w:sz w:val="30"/>
          <w:szCs w:val="30"/>
          <w:lang w:val="en-US" w:eastAsia="zh-CN"/>
        </w:rPr>
      </w:pPr>
      <w:bookmarkStart w:id="603" w:name="_Toc26703"/>
      <w:bookmarkStart w:id="604" w:name="_Toc15930"/>
      <w:bookmarkStart w:id="605" w:name="_Toc685"/>
      <w:r>
        <w:rPr>
          <w:rFonts w:hint="eastAsia" w:ascii="楷体_GB2312" w:hAnsi="宋体" w:eastAsia="楷体_GB2312" w:cs="宋体"/>
          <w:b/>
          <w:bCs/>
          <w:kern w:val="0"/>
          <w:sz w:val="30"/>
          <w:szCs w:val="30"/>
          <w:lang w:val="en-US" w:eastAsia="zh-CN"/>
        </w:rPr>
        <w:t>11.1.1编制依据</w:t>
      </w:r>
      <w:bookmarkEnd w:id="603"/>
      <w:bookmarkEnd w:id="604"/>
      <w:bookmarkEnd w:id="605"/>
    </w:p>
    <w:p w14:paraId="306C6450">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——《林业建设工程概预算编制办法》；</w:t>
      </w:r>
    </w:p>
    <w:p w14:paraId="7594585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——《建设项目经济评价方法与参数（第三版）》（2006）；</w:t>
      </w:r>
    </w:p>
    <w:p w14:paraId="2E3CBF9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——《基本建设财务规则》（财政部第81号令）</w:t>
      </w:r>
    </w:p>
    <w:p w14:paraId="2F5D0F4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——《防护林造林工程投资估算指标》（2016）；</w:t>
      </w:r>
    </w:p>
    <w:p w14:paraId="613390D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——《浙江省房屋建筑与装饰工程概算定额》（2018版）；</w:t>
      </w:r>
    </w:p>
    <w:p w14:paraId="090190D0">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——《浙江省市政工程概算定额》（2018版）；</w:t>
      </w:r>
    </w:p>
    <w:p w14:paraId="14C8F40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——《浙江省通用安装工程概算定额》（2018版）；</w:t>
      </w:r>
    </w:p>
    <w:p w14:paraId="675F2EA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——《浙江省建设工程计价规则》（2018版）；</w:t>
      </w:r>
    </w:p>
    <w:p w14:paraId="06363BE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——《浙江省建设工程施工机械台班费用定额》（2018版）；</w:t>
      </w:r>
    </w:p>
    <w:p w14:paraId="096B389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——《浙江省工程建设其他费用定额》（2018版）；</w:t>
      </w:r>
    </w:p>
    <w:p w14:paraId="063378C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——《浙江省营造林工程预算定额（2019版）》；</w:t>
      </w:r>
    </w:p>
    <w:p w14:paraId="0E6B3E2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——《浙江造价信息》（2024年第02期）；</w:t>
      </w:r>
    </w:p>
    <w:p w14:paraId="2C5AAED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——《常山市造价信息》（2024年第01期）；</w:t>
      </w:r>
    </w:p>
    <w:p w14:paraId="3B4025DE">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 项目设计图纸；</w:t>
      </w:r>
    </w:p>
    <w:p w14:paraId="6F02CE61">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 甲方提供的有关技术经济指标。</w:t>
      </w:r>
    </w:p>
    <w:p w14:paraId="4C551CC5">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outlineLvl w:val="1"/>
        <w:rPr>
          <w:rFonts w:hint="default" w:ascii="楷体_GB2312" w:hAnsi="宋体" w:eastAsia="楷体_GB2312" w:cs="宋体"/>
          <w:b/>
          <w:bCs/>
          <w:kern w:val="0"/>
          <w:sz w:val="30"/>
          <w:szCs w:val="30"/>
          <w:lang w:val="en-US" w:eastAsia="zh-CN"/>
        </w:rPr>
      </w:pPr>
      <w:bookmarkStart w:id="606" w:name="_Toc23003"/>
      <w:bookmarkStart w:id="607" w:name="_Toc9352"/>
      <w:bookmarkStart w:id="608" w:name="_Toc637"/>
      <w:bookmarkStart w:id="609" w:name="_Toc27703"/>
      <w:bookmarkStart w:id="610" w:name="_Toc32278"/>
      <w:r>
        <w:rPr>
          <w:rFonts w:hint="eastAsia" w:ascii="楷体_GB2312" w:hAnsi="宋体" w:eastAsia="楷体_GB2312" w:cs="宋体"/>
          <w:b/>
          <w:bCs/>
          <w:kern w:val="0"/>
          <w:sz w:val="30"/>
          <w:szCs w:val="30"/>
          <w:lang w:val="en-US" w:eastAsia="zh-CN"/>
        </w:rPr>
        <w:t>11.1.2工程建设取费标准</w:t>
      </w:r>
      <w:bookmarkEnd w:id="606"/>
      <w:bookmarkEnd w:id="607"/>
      <w:bookmarkEnd w:id="608"/>
    </w:p>
    <w:p w14:paraId="07770F02">
      <w:pPr>
        <w:pageBreakBefore w:val="0"/>
        <w:widowControl w:val="0"/>
        <w:kinsoku/>
        <w:wordWrap/>
        <w:overflowPunct/>
        <w:topLinePunct w:val="0"/>
        <w:bidi w:val="0"/>
        <w:snapToGrid/>
        <w:spacing w:after="0" w:line="360" w:lineRule="auto"/>
        <w:ind w:firstLine="562" w:firstLineChars="200"/>
        <w:jc w:val="both"/>
        <w:rPr>
          <w:rFonts w:hint="default"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（1）工程建设费用</w:t>
      </w:r>
    </w:p>
    <w:p w14:paraId="6290116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营造林各项定额指标参考《浙江省营造林工程预算定额（2019 版）》；水肥一体化及道路指标参考《浙江省市政工程概算定额》（2018 版）、《浙江省通用安装工程概算定额》（2018 版）、《浙江省建设工程计价规则》（2018 版）、《浙江省建设工程施工机械台班费用定额》（2018 版）、《浙江省工程建设其他费用定额》（2018 版）等。</w:t>
      </w:r>
    </w:p>
    <w:p w14:paraId="10192800">
      <w:pPr>
        <w:pageBreakBefore w:val="0"/>
        <w:widowControl w:val="0"/>
        <w:kinsoku/>
        <w:wordWrap/>
        <w:overflowPunct/>
        <w:topLinePunct w:val="0"/>
        <w:bidi w:val="0"/>
        <w:snapToGrid/>
        <w:spacing w:after="0" w:line="360" w:lineRule="auto"/>
        <w:ind w:firstLine="562" w:firstLineChars="200"/>
        <w:jc w:val="both"/>
        <w:rPr>
          <w:rFonts w:hint="default"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（2）工程建设其他费用</w:t>
      </w:r>
    </w:p>
    <w:p w14:paraId="3565396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根据浙江省住房和城乡建设厅、浙江省发展和改革委员会、浙江省财政厅以建发〔2020〕16号发布的《浙江省工程建设其他费用定额》（2018版），建设管理费各项费用取费如下：</w:t>
      </w:r>
    </w:p>
    <w:p w14:paraId="097E9CA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1）建设单位管理费：按工程费用计；</w:t>
      </w:r>
    </w:p>
    <w:p w14:paraId="0FEA3DC4">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2）建设管理其他费：按工程费用计；</w:t>
      </w:r>
    </w:p>
    <w:p w14:paraId="1B06E82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3）工程监理费：按工程费用采用内插法进行计取；</w:t>
      </w:r>
    </w:p>
    <w:p w14:paraId="07D7F46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4）项目使用林地咨询费：按林建协</w:t>
      </w:r>
      <w:r>
        <w:rPr>
          <w:rFonts w:hint="default" w:ascii="Times New Roman" w:hAnsi="Times New Roman" w:eastAsia="仿宋_GB2312" w:cs="Times New Roman"/>
          <w:bCs/>
          <w:kern w:val="0"/>
          <w:sz w:val="28"/>
          <w:szCs w:val="28"/>
          <w:lang w:val="en-US" w:eastAsia="zh-CN"/>
        </w:rPr>
        <w:t>〔2018〕15号</w:t>
      </w:r>
      <w:r>
        <w:rPr>
          <w:rFonts w:hint="eastAsia" w:ascii="Times New Roman" w:hAnsi="Times New Roman" w:eastAsia="仿宋_GB2312" w:cs="Times New Roman"/>
          <w:bCs/>
          <w:kern w:val="0"/>
          <w:sz w:val="28"/>
          <w:szCs w:val="28"/>
          <w:lang w:val="en-US" w:eastAsia="zh-CN"/>
        </w:rPr>
        <w:t>计取；</w:t>
      </w:r>
    </w:p>
    <w:p w14:paraId="2F15DC1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5）勘察设计费：依据计价格</w:t>
      </w:r>
      <w:r>
        <w:rPr>
          <w:rFonts w:hint="eastAsia" w:ascii="仿宋" w:hAnsi="仿宋" w:eastAsia="仿宋" w:cs="仿宋"/>
          <w:bCs/>
          <w:kern w:val="0"/>
          <w:sz w:val="28"/>
          <w:szCs w:val="28"/>
          <w:lang w:val="en-US" w:eastAsia="zh-CN"/>
        </w:rPr>
        <w:t>〔</w:t>
      </w:r>
      <w:r>
        <w:rPr>
          <w:rFonts w:hint="eastAsia" w:ascii="Times New Roman" w:hAnsi="Times New Roman" w:eastAsia="仿宋_GB2312" w:cs="Times New Roman"/>
          <w:bCs/>
          <w:kern w:val="0"/>
          <w:sz w:val="28"/>
          <w:szCs w:val="28"/>
          <w:lang w:val="en-US" w:eastAsia="zh-CN"/>
        </w:rPr>
        <w:t>2002</w:t>
      </w:r>
      <w:r>
        <w:rPr>
          <w:rFonts w:hint="eastAsia" w:ascii="仿宋" w:hAnsi="仿宋" w:eastAsia="仿宋" w:cs="仿宋"/>
          <w:bCs/>
          <w:kern w:val="0"/>
          <w:sz w:val="28"/>
          <w:szCs w:val="28"/>
          <w:lang w:val="en-US" w:eastAsia="zh-CN"/>
        </w:rPr>
        <w:t>〕</w:t>
      </w:r>
      <w:r>
        <w:rPr>
          <w:rFonts w:hint="eastAsia" w:ascii="Times New Roman" w:hAnsi="Times New Roman" w:eastAsia="仿宋_GB2312" w:cs="Times New Roman"/>
          <w:bCs/>
          <w:kern w:val="0"/>
          <w:sz w:val="28"/>
          <w:szCs w:val="28"/>
          <w:lang w:val="en-US" w:eastAsia="zh-CN"/>
        </w:rPr>
        <w:t>10号，按3%计入；</w:t>
      </w:r>
    </w:p>
    <w:p w14:paraId="5E589C96">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6）造价咨询费：计入建设管理其他费；</w:t>
      </w:r>
    </w:p>
    <w:p w14:paraId="3602249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7）场地准备及临时设施费：按建筑安装工程费的0.8%计；</w:t>
      </w:r>
    </w:p>
    <w:p w14:paraId="5A79F5A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8）工程保险费：按建筑安装工程费的0.2%计。</w:t>
      </w:r>
    </w:p>
    <w:p w14:paraId="32C4E87E">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（3）林地流转费</w:t>
      </w:r>
    </w:p>
    <w:p w14:paraId="4A1556D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按《常山县人民政府办公室关于印发〈常山县属国企参与实施常山县油茶产业扩面提质示范建设项目指导意见（试行）〉的通知》（常政办发〔2023〕83号）相关规定，新造林和改造林流转期限原则上为5年：</w:t>
      </w:r>
    </w:p>
    <w:p w14:paraId="36ED9DB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1）用于油茶新造林的地块：100元/亩˙年；现状为杉木、松木林、毛竹林等经济林的叠加补助50元/亩˙年；</w:t>
      </w:r>
    </w:p>
    <w:p w14:paraId="110AB19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2）用于低产低效油茶林改造的地块：50元/亩˙年。</w:t>
      </w:r>
    </w:p>
    <w:p w14:paraId="1ABD6A7A">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白石镇片区均为用于油茶新造林的地块，且现状为杉木、松木、毛竹林等，采用150元/亩˙年标准。</w:t>
      </w:r>
    </w:p>
    <w:p w14:paraId="227B7C0E">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楷体" w:hAnsi="楷体" w:eastAsia="楷体" w:cs="楷体"/>
          <w:b/>
          <w:bCs w:val="0"/>
          <w:kern w:val="0"/>
          <w:sz w:val="24"/>
          <w:szCs w:val="24"/>
          <w:lang w:val="en-US" w:eastAsia="zh-CN"/>
        </w:rPr>
      </w:pPr>
      <w:r>
        <w:rPr>
          <w:rFonts w:hint="eastAsia" w:ascii="楷体" w:hAnsi="楷体" w:eastAsia="楷体" w:cs="楷体"/>
          <w:b/>
          <w:bCs w:val="0"/>
          <w:kern w:val="0"/>
          <w:sz w:val="24"/>
          <w:szCs w:val="24"/>
          <w:lang w:val="en-US" w:eastAsia="zh-CN"/>
        </w:rPr>
        <w:t>表2-1 项目林地流转费分类面积表</w:t>
      </w:r>
    </w:p>
    <w:p w14:paraId="69E9F1F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right"/>
        <w:textAlignment w:val="auto"/>
        <w:rPr>
          <w:rFonts w:hint="eastAsia" w:ascii="楷体_GB2312" w:hAnsi="宋体" w:eastAsia="楷体_GB2312"/>
          <w:szCs w:val="21"/>
          <w:lang w:val="en-US" w:eastAsia="zh-CN"/>
        </w:rPr>
      </w:pPr>
      <w:r>
        <w:rPr>
          <w:rFonts w:hint="eastAsia" w:ascii="楷体_GB2312" w:hAnsi="宋体" w:eastAsia="楷体_GB2312"/>
          <w:szCs w:val="21"/>
        </w:rPr>
        <w:t>单位：</w:t>
      </w:r>
      <w:r>
        <w:rPr>
          <w:rFonts w:hint="eastAsia" w:ascii="楷体_GB2312" w:eastAsia="楷体_GB2312"/>
          <w:szCs w:val="21"/>
          <w:lang w:val="en-US" w:eastAsia="zh-CN"/>
        </w:rPr>
        <w:t>亩</w:t>
      </w:r>
    </w:p>
    <w:tbl>
      <w:tblPr>
        <w:tblStyle w:val="2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1"/>
        <w:gridCol w:w="3690"/>
        <w:gridCol w:w="2098"/>
        <w:gridCol w:w="1470"/>
      </w:tblGrid>
      <w:tr w14:paraId="28F0C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pct"/>
          </w:tcPr>
          <w:p w14:paraId="0FD1F01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序号</w:t>
            </w:r>
          </w:p>
        </w:tc>
        <w:tc>
          <w:tcPr>
            <w:tcW w:w="2165" w:type="pct"/>
            <w:vAlign w:val="top"/>
          </w:tcPr>
          <w:p w14:paraId="119A537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类别</w:t>
            </w:r>
          </w:p>
        </w:tc>
        <w:tc>
          <w:tcPr>
            <w:tcW w:w="1231" w:type="pct"/>
            <w:vAlign w:val="top"/>
          </w:tcPr>
          <w:p w14:paraId="0B08E3C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eastAsia" w:ascii="Arial Narrow" w:hAnsi="Arial Narrow" w:eastAsia="楷体_GB2312" w:cs="Arial Narrow"/>
                <w:b/>
                <w:bCs/>
                <w:sz w:val="21"/>
                <w:szCs w:val="21"/>
                <w:lang w:val="en-US" w:eastAsia="zh-CN"/>
              </w:rPr>
              <w:t>白石镇</w:t>
            </w:r>
          </w:p>
        </w:tc>
        <w:tc>
          <w:tcPr>
            <w:tcW w:w="862" w:type="pct"/>
            <w:vAlign w:val="top"/>
          </w:tcPr>
          <w:p w14:paraId="3CC887C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合计</w:t>
            </w:r>
          </w:p>
        </w:tc>
      </w:tr>
      <w:tr w14:paraId="04DAE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pct"/>
          </w:tcPr>
          <w:p w14:paraId="71803A1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b w:val="0"/>
                <w:bCs w:val="0"/>
                <w:sz w:val="21"/>
                <w:szCs w:val="21"/>
                <w:lang w:val="en-US" w:eastAsia="zh-CN"/>
              </w:rPr>
              <w:t>1</w:t>
            </w:r>
          </w:p>
        </w:tc>
        <w:tc>
          <w:tcPr>
            <w:tcW w:w="2165" w:type="pct"/>
            <w:vAlign w:val="top"/>
          </w:tcPr>
          <w:p w14:paraId="79E59B9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b w:val="0"/>
                <w:bCs w:val="0"/>
                <w:sz w:val="21"/>
                <w:szCs w:val="21"/>
                <w:lang w:val="en-US" w:eastAsia="zh-CN"/>
              </w:rPr>
              <w:t>100元/亩</w:t>
            </w:r>
            <w:r>
              <w:rPr>
                <w:rFonts w:hint="eastAsia" w:ascii="Arial Narrow" w:hAnsi="Arial Narrow" w:eastAsia="仿宋" w:cs="Arial Narrow"/>
                <w:b w:val="0"/>
                <w:bCs w:val="0"/>
                <w:sz w:val="21"/>
                <w:szCs w:val="21"/>
                <w:lang w:val="en-US" w:eastAsia="zh-CN"/>
              </w:rPr>
              <w:t>˙</w:t>
            </w:r>
            <w:r>
              <w:rPr>
                <w:rFonts w:hint="default" w:ascii="Arial Narrow" w:hAnsi="Arial Narrow" w:eastAsia="楷体_GB2312" w:cs="Arial Narrow"/>
                <w:b w:val="0"/>
                <w:bCs w:val="0"/>
                <w:sz w:val="21"/>
                <w:szCs w:val="21"/>
                <w:lang w:val="en-US" w:eastAsia="zh-CN"/>
              </w:rPr>
              <w:t>年标准</w:t>
            </w:r>
          </w:p>
        </w:tc>
        <w:tc>
          <w:tcPr>
            <w:tcW w:w="1231" w:type="pct"/>
          </w:tcPr>
          <w:p w14:paraId="3F37253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p>
        </w:tc>
        <w:tc>
          <w:tcPr>
            <w:tcW w:w="862" w:type="pct"/>
          </w:tcPr>
          <w:p w14:paraId="67EFA7D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p>
        </w:tc>
      </w:tr>
      <w:tr w14:paraId="15E96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pct"/>
          </w:tcPr>
          <w:p w14:paraId="2AADAF2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b w:val="0"/>
                <w:bCs w:val="0"/>
                <w:sz w:val="21"/>
                <w:szCs w:val="21"/>
                <w:lang w:val="en-US" w:eastAsia="zh-CN"/>
              </w:rPr>
              <w:t>2</w:t>
            </w:r>
          </w:p>
        </w:tc>
        <w:tc>
          <w:tcPr>
            <w:tcW w:w="2165" w:type="pct"/>
            <w:vAlign w:val="top"/>
          </w:tcPr>
          <w:p w14:paraId="4AC1F23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b w:val="0"/>
                <w:bCs w:val="0"/>
                <w:sz w:val="21"/>
                <w:szCs w:val="21"/>
                <w:lang w:val="en-US" w:eastAsia="zh-CN"/>
              </w:rPr>
              <w:t>150元/亩</w:t>
            </w:r>
            <w:r>
              <w:rPr>
                <w:rFonts w:hint="eastAsia" w:ascii="Arial Narrow" w:hAnsi="Arial Narrow" w:eastAsia="仿宋" w:cs="Arial Narrow"/>
                <w:b w:val="0"/>
                <w:bCs w:val="0"/>
                <w:sz w:val="21"/>
                <w:szCs w:val="21"/>
                <w:lang w:val="en-US" w:eastAsia="zh-CN"/>
              </w:rPr>
              <w:t>˙</w:t>
            </w:r>
            <w:r>
              <w:rPr>
                <w:rFonts w:hint="default" w:ascii="Arial Narrow" w:hAnsi="Arial Narrow" w:eastAsia="楷体_GB2312" w:cs="Arial Narrow"/>
                <w:b w:val="0"/>
                <w:bCs w:val="0"/>
                <w:sz w:val="21"/>
                <w:szCs w:val="21"/>
                <w:lang w:val="en-US" w:eastAsia="zh-CN"/>
              </w:rPr>
              <w:t>年标准</w:t>
            </w:r>
          </w:p>
        </w:tc>
        <w:tc>
          <w:tcPr>
            <w:tcW w:w="1231" w:type="pct"/>
          </w:tcPr>
          <w:p w14:paraId="316141B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774.9</w:t>
            </w:r>
          </w:p>
        </w:tc>
        <w:tc>
          <w:tcPr>
            <w:tcW w:w="862" w:type="pct"/>
          </w:tcPr>
          <w:p w14:paraId="61EB609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774.9</w:t>
            </w:r>
          </w:p>
        </w:tc>
      </w:tr>
      <w:tr w14:paraId="6A342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pct"/>
          </w:tcPr>
          <w:p w14:paraId="6CAE39D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b w:val="0"/>
                <w:bCs w:val="0"/>
                <w:sz w:val="21"/>
                <w:szCs w:val="21"/>
                <w:lang w:val="en-US" w:eastAsia="zh-CN"/>
              </w:rPr>
              <w:t>3</w:t>
            </w:r>
          </w:p>
        </w:tc>
        <w:tc>
          <w:tcPr>
            <w:tcW w:w="2165" w:type="pct"/>
            <w:vAlign w:val="top"/>
          </w:tcPr>
          <w:p w14:paraId="26A1599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b w:val="0"/>
                <w:bCs w:val="0"/>
                <w:sz w:val="21"/>
                <w:szCs w:val="21"/>
                <w:lang w:val="en-US" w:eastAsia="zh-CN"/>
              </w:rPr>
              <w:t>50元/亩</w:t>
            </w:r>
            <w:r>
              <w:rPr>
                <w:rFonts w:hint="eastAsia" w:ascii="Arial Narrow" w:hAnsi="Arial Narrow" w:eastAsia="仿宋" w:cs="Arial Narrow"/>
                <w:b w:val="0"/>
                <w:bCs w:val="0"/>
                <w:sz w:val="21"/>
                <w:szCs w:val="21"/>
                <w:lang w:val="en-US" w:eastAsia="zh-CN"/>
              </w:rPr>
              <w:t>˙</w:t>
            </w:r>
            <w:r>
              <w:rPr>
                <w:rFonts w:hint="default" w:ascii="Arial Narrow" w:hAnsi="Arial Narrow" w:eastAsia="楷体_GB2312" w:cs="Arial Narrow"/>
                <w:b w:val="0"/>
                <w:bCs w:val="0"/>
                <w:sz w:val="21"/>
                <w:szCs w:val="21"/>
                <w:lang w:val="en-US" w:eastAsia="zh-CN"/>
              </w:rPr>
              <w:t>年</w:t>
            </w:r>
          </w:p>
        </w:tc>
        <w:tc>
          <w:tcPr>
            <w:tcW w:w="1231" w:type="pct"/>
          </w:tcPr>
          <w:p w14:paraId="569CC0D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p>
        </w:tc>
        <w:tc>
          <w:tcPr>
            <w:tcW w:w="862" w:type="pct"/>
          </w:tcPr>
          <w:p w14:paraId="5C1A376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p>
        </w:tc>
      </w:tr>
      <w:tr w14:paraId="60D25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pct"/>
          </w:tcPr>
          <w:p w14:paraId="0A2FA0D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4</w:t>
            </w:r>
          </w:p>
        </w:tc>
        <w:tc>
          <w:tcPr>
            <w:tcW w:w="2165" w:type="pct"/>
            <w:vAlign w:val="top"/>
          </w:tcPr>
          <w:p w14:paraId="1DCD566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合计</w:t>
            </w:r>
          </w:p>
        </w:tc>
        <w:tc>
          <w:tcPr>
            <w:tcW w:w="1231" w:type="pct"/>
          </w:tcPr>
          <w:p w14:paraId="41D3010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eastAsia" w:ascii="Arial Narrow" w:hAnsi="Arial Narrow" w:eastAsia="楷体_GB2312" w:cs="Arial Narrow"/>
                <w:b/>
                <w:bCs/>
                <w:sz w:val="21"/>
                <w:szCs w:val="21"/>
                <w:lang w:val="en-US" w:eastAsia="zh-CN"/>
              </w:rPr>
              <w:t>774.9</w:t>
            </w:r>
          </w:p>
        </w:tc>
        <w:tc>
          <w:tcPr>
            <w:tcW w:w="862" w:type="pct"/>
          </w:tcPr>
          <w:p w14:paraId="5AF2B8F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eastAsia" w:ascii="Arial Narrow" w:hAnsi="Arial Narrow" w:eastAsia="楷体_GB2312" w:cs="Arial Narrow"/>
                <w:b/>
                <w:bCs/>
                <w:sz w:val="21"/>
                <w:szCs w:val="21"/>
                <w:lang w:val="en-US" w:eastAsia="zh-CN"/>
              </w:rPr>
              <w:t>774.9</w:t>
            </w:r>
          </w:p>
        </w:tc>
      </w:tr>
    </w:tbl>
    <w:p w14:paraId="024C12FD">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（4）预备费</w:t>
      </w:r>
    </w:p>
    <w:p w14:paraId="2751E2D0">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按工程费及其他费用的1.0%计。</w:t>
      </w:r>
      <w:bookmarkStart w:id="611" w:name="_Toc16836"/>
    </w:p>
    <w:p w14:paraId="4B5637B7">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outlineLvl w:val="1"/>
        <w:rPr>
          <w:rFonts w:hint="eastAsia" w:ascii="楷体_GB2312" w:hAnsi="宋体" w:eastAsia="楷体_GB2312" w:cs="宋体"/>
          <w:b/>
          <w:bCs/>
          <w:kern w:val="0"/>
          <w:sz w:val="30"/>
          <w:szCs w:val="30"/>
          <w:lang w:val="en-US" w:eastAsia="zh-CN"/>
        </w:rPr>
      </w:pPr>
      <w:bookmarkStart w:id="612" w:name="_Toc26146"/>
      <w:bookmarkStart w:id="613" w:name="_Toc31394"/>
      <w:r>
        <w:rPr>
          <w:rFonts w:hint="eastAsia" w:ascii="楷体_GB2312" w:hAnsi="宋体" w:eastAsia="楷体_GB2312" w:cs="宋体"/>
          <w:b/>
          <w:bCs/>
          <w:kern w:val="0"/>
          <w:sz w:val="30"/>
          <w:szCs w:val="30"/>
          <w:lang w:val="en-US" w:eastAsia="zh-CN"/>
        </w:rPr>
        <w:t>11.1.3投资概算</w:t>
      </w:r>
      <w:bookmarkEnd w:id="609"/>
      <w:bookmarkEnd w:id="610"/>
      <w:bookmarkEnd w:id="611"/>
      <w:bookmarkEnd w:id="612"/>
      <w:bookmarkEnd w:id="613"/>
    </w:p>
    <w:p w14:paraId="40CFF31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白石镇片区工程营造林面积774.9亩，主要建设内容包括营造林工程、水肥一体化工程、道路工程等。项目总投资概算668.87万元，其中工程费546.61万元，林地流转费58.12万元，其他费用57.52万元，预备费6.62万元。工程费用中营造林工程432.56万元，水肥一体化工程98.77万元，水肥一体化电源及电费8.56万元，作业道路工程6.72万元。</w:t>
      </w:r>
    </w:p>
    <w:p w14:paraId="47E98C20">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项目申请中央财政补助313.68万元，省级财政补助77.49万元，自筹资金277.70万元。</w:t>
      </w:r>
    </w:p>
    <w:p w14:paraId="4B105B03">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详见下表：</w:t>
      </w:r>
    </w:p>
    <w:p w14:paraId="19D2D7DA">
      <w:pPr>
        <w:pStyle w:val="9"/>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楷体" w:hAnsi="楷体" w:eastAsia="楷体" w:cs="楷体"/>
          <w:b/>
          <w:bCs w:val="0"/>
          <w:kern w:val="0"/>
          <w:sz w:val="24"/>
          <w:szCs w:val="24"/>
          <w:lang w:val="en-US" w:eastAsia="zh-CN"/>
        </w:rPr>
      </w:pPr>
      <w:r>
        <w:rPr>
          <w:rFonts w:hint="eastAsia" w:ascii="楷体" w:hAnsi="楷体" w:eastAsia="楷体" w:cs="楷体"/>
          <w:b/>
          <w:bCs w:val="0"/>
          <w:kern w:val="0"/>
          <w:sz w:val="24"/>
          <w:szCs w:val="24"/>
          <w:lang w:val="en-US" w:eastAsia="zh-CN"/>
        </w:rPr>
        <w:t>表11-1 项目总投资概算汇总表</w:t>
      </w:r>
    </w:p>
    <w:p w14:paraId="16B1DFFA">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right"/>
        <w:textAlignment w:val="auto"/>
        <w:rPr>
          <w:rFonts w:hint="eastAsia" w:ascii="楷体_GB2312" w:hAnsi="宋体" w:eastAsia="楷体_GB2312"/>
          <w:sz w:val="21"/>
          <w:szCs w:val="21"/>
          <w:lang w:eastAsia="zh-CN"/>
        </w:rPr>
      </w:pPr>
      <w:r>
        <w:rPr>
          <w:rFonts w:hint="eastAsia" w:ascii="楷体_GB2312" w:hAnsi="宋体" w:eastAsia="楷体_GB2312"/>
          <w:sz w:val="21"/>
          <w:szCs w:val="21"/>
        </w:rPr>
        <w:t>单位：</w:t>
      </w:r>
      <w:r>
        <w:rPr>
          <w:rFonts w:hint="eastAsia" w:ascii="楷体_GB2312" w:eastAsia="楷体_GB2312"/>
          <w:sz w:val="21"/>
          <w:szCs w:val="21"/>
          <w:lang w:val="en-US" w:eastAsia="zh-CN"/>
        </w:rPr>
        <w:t>万元</w:t>
      </w:r>
    </w:p>
    <w:tbl>
      <w:tblPr>
        <w:tblStyle w:val="2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2"/>
        <w:gridCol w:w="3175"/>
        <w:gridCol w:w="1149"/>
        <w:gridCol w:w="1018"/>
        <w:gridCol w:w="1018"/>
        <w:gridCol w:w="1157"/>
      </w:tblGrid>
      <w:tr w14:paraId="02F10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588" w:type="pct"/>
            <w:vMerge w:val="restart"/>
            <w:vAlign w:val="center"/>
          </w:tcPr>
          <w:p w14:paraId="0C7DC6F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序号</w:t>
            </w:r>
          </w:p>
        </w:tc>
        <w:tc>
          <w:tcPr>
            <w:tcW w:w="1863" w:type="pct"/>
            <w:vMerge w:val="restart"/>
            <w:vAlign w:val="center"/>
          </w:tcPr>
          <w:p w14:paraId="364E917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项目</w:t>
            </w:r>
          </w:p>
        </w:tc>
        <w:tc>
          <w:tcPr>
            <w:tcW w:w="2547" w:type="pct"/>
            <w:gridSpan w:val="4"/>
            <w:vAlign w:val="center"/>
          </w:tcPr>
          <w:p w14:paraId="022744C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eastAsia" w:ascii="Arial Narrow" w:hAnsi="Arial Narrow" w:eastAsia="楷体_GB2312" w:cs="Arial Narrow"/>
                <w:b/>
                <w:bCs/>
                <w:sz w:val="21"/>
                <w:szCs w:val="21"/>
                <w:lang w:val="en-US" w:eastAsia="zh-CN"/>
              </w:rPr>
              <w:t>资金来源</w:t>
            </w:r>
          </w:p>
        </w:tc>
      </w:tr>
      <w:tr w14:paraId="5B056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588" w:type="pct"/>
            <w:vMerge w:val="continue"/>
            <w:vAlign w:val="center"/>
          </w:tcPr>
          <w:p w14:paraId="09D2D42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p>
        </w:tc>
        <w:tc>
          <w:tcPr>
            <w:tcW w:w="1863" w:type="pct"/>
            <w:vMerge w:val="continue"/>
            <w:vAlign w:val="center"/>
          </w:tcPr>
          <w:p w14:paraId="4BAED5F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p>
        </w:tc>
        <w:tc>
          <w:tcPr>
            <w:tcW w:w="674" w:type="pct"/>
            <w:vAlign w:val="center"/>
          </w:tcPr>
          <w:p w14:paraId="4E71344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eastAsia" w:ascii="Arial Narrow" w:hAnsi="Arial Narrow" w:eastAsia="楷体_GB2312" w:cs="Arial Narrow"/>
                <w:b/>
                <w:bCs/>
                <w:sz w:val="21"/>
                <w:szCs w:val="21"/>
                <w:lang w:val="en-US" w:eastAsia="zh-CN"/>
              </w:rPr>
              <w:t>合计</w:t>
            </w:r>
          </w:p>
        </w:tc>
        <w:tc>
          <w:tcPr>
            <w:tcW w:w="597" w:type="pct"/>
            <w:vAlign w:val="center"/>
          </w:tcPr>
          <w:p w14:paraId="6E50D2B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eastAsia" w:ascii="Arial Narrow" w:hAnsi="Arial Narrow" w:eastAsia="楷体_GB2312" w:cs="Arial Narrow"/>
                <w:b/>
                <w:bCs/>
                <w:sz w:val="21"/>
                <w:szCs w:val="21"/>
                <w:lang w:val="en-US" w:eastAsia="zh-CN"/>
              </w:rPr>
              <w:t>中央</w:t>
            </w:r>
          </w:p>
        </w:tc>
        <w:tc>
          <w:tcPr>
            <w:tcW w:w="597" w:type="pct"/>
            <w:vAlign w:val="center"/>
          </w:tcPr>
          <w:p w14:paraId="1647095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eastAsia" w:ascii="Arial Narrow" w:hAnsi="Arial Narrow" w:eastAsia="楷体_GB2312" w:cs="Arial Narrow"/>
                <w:b/>
                <w:bCs/>
                <w:sz w:val="21"/>
                <w:szCs w:val="21"/>
                <w:lang w:val="en-US" w:eastAsia="zh-CN"/>
              </w:rPr>
              <w:t>省级</w:t>
            </w:r>
          </w:p>
        </w:tc>
        <w:tc>
          <w:tcPr>
            <w:tcW w:w="678" w:type="pct"/>
            <w:vAlign w:val="center"/>
          </w:tcPr>
          <w:p w14:paraId="4231698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eastAsia" w:ascii="Arial Narrow" w:hAnsi="Arial Narrow" w:eastAsia="楷体_GB2312" w:cs="Arial Narrow"/>
                <w:b/>
                <w:bCs/>
                <w:sz w:val="21"/>
                <w:szCs w:val="21"/>
                <w:lang w:val="en-US" w:eastAsia="zh-CN"/>
              </w:rPr>
              <w:t>自筹</w:t>
            </w:r>
          </w:p>
        </w:tc>
      </w:tr>
      <w:tr w14:paraId="6498E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4564FF3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1</w:t>
            </w:r>
          </w:p>
        </w:tc>
        <w:tc>
          <w:tcPr>
            <w:tcW w:w="1863" w:type="pct"/>
            <w:vAlign w:val="center"/>
          </w:tcPr>
          <w:p w14:paraId="48ED10C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合计</w:t>
            </w:r>
          </w:p>
        </w:tc>
        <w:tc>
          <w:tcPr>
            <w:tcW w:w="1149" w:type="dxa"/>
            <w:vAlign w:val="center"/>
          </w:tcPr>
          <w:p w14:paraId="6A1B72BF">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i w:val="0"/>
                <w:iCs w:val="0"/>
                <w:kern w:val="0"/>
                <w:sz w:val="21"/>
                <w:szCs w:val="21"/>
                <w:u w:val="none"/>
                <w:lang w:val="en-US" w:eastAsia="zh-CN" w:bidi="ar"/>
              </w:rPr>
              <w:t xml:space="preserve">668.87 </w:t>
            </w:r>
          </w:p>
        </w:tc>
        <w:tc>
          <w:tcPr>
            <w:tcW w:w="1018" w:type="dxa"/>
            <w:vAlign w:val="center"/>
          </w:tcPr>
          <w:p w14:paraId="50BD53A0">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i w:val="0"/>
                <w:iCs w:val="0"/>
                <w:kern w:val="0"/>
                <w:sz w:val="21"/>
                <w:szCs w:val="21"/>
                <w:u w:val="none"/>
                <w:lang w:val="en-US" w:eastAsia="zh-CN" w:bidi="ar"/>
              </w:rPr>
              <w:t xml:space="preserve">313.68 </w:t>
            </w:r>
          </w:p>
        </w:tc>
        <w:tc>
          <w:tcPr>
            <w:tcW w:w="1018" w:type="dxa"/>
            <w:vAlign w:val="center"/>
          </w:tcPr>
          <w:p w14:paraId="319DD240">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i w:val="0"/>
                <w:iCs w:val="0"/>
                <w:kern w:val="0"/>
                <w:sz w:val="21"/>
                <w:szCs w:val="21"/>
                <w:u w:val="none"/>
                <w:lang w:val="en-US" w:eastAsia="zh-CN" w:bidi="ar"/>
              </w:rPr>
              <w:t xml:space="preserve">77.49 </w:t>
            </w:r>
          </w:p>
        </w:tc>
        <w:tc>
          <w:tcPr>
            <w:tcW w:w="1157" w:type="dxa"/>
            <w:vAlign w:val="center"/>
          </w:tcPr>
          <w:p w14:paraId="5C87BB24">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i w:val="0"/>
                <w:iCs w:val="0"/>
                <w:kern w:val="0"/>
                <w:sz w:val="21"/>
                <w:szCs w:val="21"/>
                <w:u w:val="none"/>
                <w:lang w:val="en-US" w:eastAsia="zh-CN" w:bidi="ar"/>
              </w:rPr>
              <w:t xml:space="preserve">277.70 </w:t>
            </w:r>
          </w:p>
        </w:tc>
      </w:tr>
      <w:tr w14:paraId="4E07D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0F29F35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2</w:t>
            </w:r>
          </w:p>
        </w:tc>
        <w:tc>
          <w:tcPr>
            <w:tcW w:w="1863" w:type="pct"/>
            <w:vAlign w:val="center"/>
          </w:tcPr>
          <w:p w14:paraId="19630E9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eastAsia" w:ascii="Arial Narrow" w:hAnsi="Arial Narrow" w:eastAsia="楷体_GB2312" w:cs="Arial Narrow"/>
                <w:b/>
                <w:bCs/>
                <w:sz w:val="21"/>
                <w:szCs w:val="21"/>
                <w:lang w:val="en-US" w:eastAsia="zh-CN"/>
              </w:rPr>
              <w:t>工程费</w:t>
            </w:r>
          </w:p>
        </w:tc>
        <w:tc>
          <w:tcPr>
            <w:tcW w:w="1149" w:type="dxa"/>
            <w:vAlign w:val="center"/>
          </w:tcPr>
          <w:p w14:paraId="4932EB99">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i w:val="0"/>
                <w:iCs w:val="0"/>
                <w:kern w:val="0"/>
                <w:sz w:val="21"/>
                <w:szCs w:val="21"/>
                <w:u w:val="none"/>
                <w:lang w:val="en-US" w:eastAsia="zh-CN" w:bidi="ar"/>
              </w:rPr>
              <w:t xml:space="preserve">546.61 </w:t>
            </w:r>
          </w:p>
        </w:tc>
        <w:tc>
          <w:tcPr>
            <w:tcW w:w="1018" w:type="dxa"/>
            <w:vAlign w:val="center"/>
          </w:tcPr>
          <w:p w14:paraId="272EBA05">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i w:val="0"/>
                <w:iCs w:val="0"/>
                <w:kern w:val="0"/>
                <w:sz w:val="21"/>
                <w:szCs w:val="21"/>
                <w:u w:val="none"/>
                <w:lang w:val="en-US" w:eastAsia="zh-CN" w:bidi="ar"/>
              </w:rPr>
              <w:t xml:space="preserve">313.68 </w:t>
            </w:r>
          </w:p>
        </w:tc>
        <w:tc>
          <w:tcPr>
            <w:tcW w:w="1018" w:type="dxa"/>
            <w:vAlign w:val="center"/>
          </w:tcPr>
          <w:p w14:paraId="2C72ED9B">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i w:val="0"/>
                <w:iCs w:val="0"/>
                <w:kern w:val="0"/>
                <w:sz w:val="21"/>
                <w:szCs w:val="21"/>
                <w:u w:val="none"/>
                <w:lang w:val="en-US" w:eastAsia="zh-CN" w:bidi="ar"/>
              </w:rPr>
              <w:t xml:space="preserve">77.49 </w:t>
            </w:r>
          </w:p>
        </w:tc>
        <w:tc>
          <w:tcPr>
            <w:tcW w:w="1157" w:type="dxa"/>
            <w:vAlign w:val="center"/>
          </w:tcPr>
          <w:p w14:paraId="16FC0D6D">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i w:val="0"/>
                <w:iCs w:val="0"/>
                <w:kern w:val="0"/>
                <w:sz w:val="21"/>
                <w:szCs w:val="21"/>
                <w:u w:val="none"/>
                <w:lang w:val="en-US" w:eastAsia="zh-CN" w:bidi="ar"/>
              </w:rPr>
              <w:t xml:space="preserve">155.44 </w:t>
            </w:r>
          </w:p>
        </w:tc>
      </w:tr>
      <w:tr w14:paraId="0CF20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2C94E5E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b w:val="0"/>
                <w:bCs w:val="0"/>
                <w:sz w:val="21"/>
                <w:szCs w:val="21"/>
                <w:lang w:val="en-US" w:eastAsia="zh-CN"/>
              </w:rPr>
              <w:t>2.1</w:t>
            </w:r>
          </w:p>
        </w:tc>
        <w:tc>
          <w:tcPr>
            <w:tcW w:w="1863" w:type="pct"/>
            <w:vAlign w:val="center"/>
          </w:tcPr>
          <w:p w14:paraId="236495D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营造林</w:t>
            </w:r>
          </w:p>
        </w:tc>
        <w:tc>
          <w:tcPr>
            <w:tcW w:w="1149" w:type="dxa"/>
            <w:vAlign w:val="center"/>
          </w:tcPr>
          <w:p w14:paraId="66387FCA">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432.56 </w:t>
            </w:r>
          </w:p>
        </w:tc>
        <w:tc>
          <w:tcPr>
            <w:tcW w:w="1018" w:type="dxa"/>
            <w:vAlign w:val="center"/>
          </w:tcPr>
          <w:p w14:paraId="39ACF361">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228.44 </w:t>
            </w:r>
          </w:p>
        </w:tc>
        <w:tc>
          <w:tcPr>
            <w:tcW w:w="1018" w:type="dxa"/>
            <w:vAlign w:val="center"/>
          </w:tcPr>
          <w:p w14:paraId="7B43513D">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77.49 </w:t>
            </w:r>
          </w:p>
        </w:tc>
        <w:tc>
          <w:tcPr>
            <w:tcW w:w="1157" w:type="dxa"/>
            <w:vAlign w:val="center"/>
          </w:tcPr>
          <w:p w14:paraId="5E61E2B7">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126.63 </w:t>
            </w:r>
          </w:p>
        </w:tc>
      </w:tr>
      <w:tr w14:paraId="0A100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7C69510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b w:val="0"/>
                <w:bCs w:val="0"/>
                <w:sz w:val="21"/>
                <w:szCs w:val="21"/>
                <w:lang w:val="en-US" w:eastAsia="zh-CN"/>
              </w:rPr>
              <w:t>2.2</w:t>
            </w:r>
          </w:p>
        </w:tc>
        <w:tc>
          <w:tcPr>
            <w:tcW w:w="1863" w:type="pct"/>
            <w:vAlign w:val="center"/>
          </w:tcPr>
          <w:p w14:paraId="4CE2F0A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水肥一体化</w:t>
            </w:r>
          </w:p>
        </w:tc>
        <w:tc>
          <w:tcPr>
            <w:tcW w:w="1149" w:type="dxa"/>
            <w:vAlign w:val="center"/>
          </w:tcPr>
          <w:p w14:paraId="6EBAFA87">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98.77 </w:t>
            </w:r>
          </w:p>
        </w:tc>
        <w:tc>
          <w:tcPr>
            <w:tcW w:w="1018" w:type="dxa"/>
            <w:vAlign w:val="center"/>
          </w:tcPr>
          <w:p w14:paraId="33B71ECE">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85.24 </w:t>
            </w:r>
          </w:p>
        </w:tc>
        <w:tc>
          <w:tcPr>
            <w:tcW w:w="1018" w:type="dxa"/>
            <w:vAlign w:val="center"/>
          </w:tcPr>
          <w:p w14:paraId="6C6C67A8">
            <w:pPr>
              <w:widowControl w:val="0"/>
              <w:jc w:val="center"/>
              <w:textAlignment w:val="center"/>
              <w:rPr>
                <w:rFonts w:hint="default" w:ascii="Arial Narrow" w:hAnsi="Arial Narrow" w:eastAsia="楷体_GB2312" w:cs="Arial Narrow"/>
                <w:b w:val="0"/>
                <w:bCs w:val="0"/>
                <w:sz w:val="21"/>
                <w:szCs w:val="21"/>
                <w:lang w:val="en-US" w:eastAsia="zh-CN"/>
              </w:rPr>
            </w:pPr>
          </w:p>
        </w:tc>
        <w:tc>
          <w:tcPr>
            <w:tcW w:w="1157" w:type="dxa"/>
            <w:vAlign w:val="center"/>
          </w:tcPr>
          <w:p w14:paraId="25F3C672">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13.53 </w:t>
            </w:r>
          </w:p>
        </w:tc>
      </w:tr>
      <w:tr w14:paraId="44A1F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5220106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2.3</w:t>
            </w:r>
          </w:p>
        </w:tc>
        <w:tc>
          <w:tcPr>
            <w:tcW w:w="1863" w:type="pct"/>
            <w:vAlign w:val="center"/>
          </w:tcPr>
          <w:p w14:paraId="3FE015D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水肥一体配套电源</w:t>
            </w:r>
          </w:p>
        </w:tc>
        <w:tc>
          <w:tcPr>
            <w:tcW w:w="1149" w:type="dxa"/>
            <w:vAlign w:val="center"/>
          </w:tcPr>
          <w:p w14:paraId="6CB08B2B">
            <w:pPr>
              <w:keepNext w:val="0"/>
              <w:keepLines w:val="0"/>
              <w:widowControl w:val="0"/>
              <w:suppressLineNumbers w:val="0"/>
              <w:spacing w:after="0" w:line="240" w:lineRule="auto"/>
              <w:ind w:firstLine="0" w:firstLineChars="0"/>
              <w:jc w:val="center"/>
              <w:textAlignment w:val="center"/>
              <w:rPr>
                <w:rFonts w:hint="eastAsia"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7.00 </w:t>
            </w:r>
          </w:p>
        </w:tc>
        <w:tc>
          <w:tcPr>
            <w:tcW w:w="1018" w:type="dxa"/>
            <w:vAlign w:val="center"/>
          </w:tcPr>
          <w:p w14:paraId="2D5B2263">
            <w:pPr>
              <w:widowControl w:val="0"/>
              <w:jc w:val="center"/>
              <w:textAlignment w:val="center"/>
              <w:rPr>
                <w:rFonts w:hint="eastAsia" w:ascii="Arial Narrow" w:hAnsi="Arial Narrow" w:eastAsia="楷体_GB2312" w:cs="Arial Narrow"/>
                <w:b w:val="0"/>
                <w:bCs w:val="0"/>
                <w:sz w:val="21"/>
                <w:szCs w:val="21"/>
                <w:lang w:val="en-US" w:eastAsia="zh-CN"/>
              </w:rPr>
            </w:pPr>
          </w:p>
        </w:tc>
        <w:tc>
          <w:tcPr>
            <w:tcW w:w="1018" w:type="dxa"/>
            <w:vAlign w:val="center"/>
          </w:tcPr>
          <w:p w14:paraId="6A2A18D5">
            <w:pPr>
              <w:widowControl w:val="0"/>
              <w:jc w:val="center"/>
              <w:textAlignment w:val="center"/>
              <w:rPr>
                <w:rFonts w:hint="default" w:ascii="Arial Narrow" w:hAnsi="Arial Narrow" w:eastAsia="楷体_GB2312" w:cs="Arial Narrow"/>
                <w:b w:val="0"/>
                <w:bCs w:val="0"/>
                <w:sz w:val="21"/>
                <w:szCs w:val="21"/>
                <w:lang w:val="en-US" w:eastAsia="zh-CN"/>
              </w:rPr>
            </w:pPr>
          </w:p>
        </w:tc>
        <w:tc>
          <w:tcPr>
            <w:tcW w:w="1157" w:type="dxa"/>
            <w:vAlign w:val="center"/>
          </w:tcPr>
          <w:p w14:paraId="2B377630">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7.00 </w:t>
            </w:r>
          </w:p>
        </w:tc>
      </w:tr>
      <w:tr w14:paraId="34F78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24E6EB3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2.4</w:t>
            </w:r>
          </w:p>
        </w:tc>
        <w:tc>
          <w:tcPr>
            <w:tcW w:w="1863" w:type="pct"/>
            <w:vAlign w:val="center"/>
          </w:tcPr>
          <w:p w14:paraId="30F7322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水肥一体电费</w:t>
            </w:r>
          </w:p>
        </w:tc>
        <w:tc>
          <w:tcPr>
            <w:tcW w:w="1149" w:type="dxa"/>
            <w:vAlign w:val="center"/>
          </w:tcPr>
          <w:p w14:paraId="2E6F6AC5">
            <w:pPr>
              <w:keepNext w:val="0"/>
              <w:keepLines w:val="0"/>
              <w:widowControl w:val="0"/>
              <w:suppressLineNumbers w:val="0"/>
              <w:spacing w:after="0" w:line="240" w:lineRule="auto"/>
              <w:ind w:firstLine="0" w:firstLineChars="0"/>
              <w:jc w:val="center"/>
              <w:textAlignment w:val="center"/>
              <w:rPr>
                <w:rFonts w:hint="eastAsia"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1.56 </w:t>
            </w:r>
          </w:p>
        </w:tc>
        <w:tc>
          <w:tcPr>
            <w:tcW w:w="1018" w:type="dxa"/>
            <w:vAlign w:val="center"/>
          </w:tcPr>
          <w:p w14:paraId="44942285">
            <w:pPr>
              <w:widowControl w:val="0"/>
              <w:jc w:val="center"/>
              <w:textAlignment w:val="center"/>
              <w:rPr>
                <w:rFonts w:hint="eastAsia" w:ascii="Arial Narrow" w:hAnsi="Arial Narrow" w:eastAsia="楷体_GB2312" w:cs="Arial Narrow"/>
                <w:b w:val="0"/>
                <w:bCs w:val="0"/>
                <w:sz w:val="21"/>
                <w:szCs w:val="21"/>
                <w:lang w:val="en-US" w:eastAsia="zh-CN"/>
              </w:rPr>
            </w:pPr>
          </w:p>
        </w:tc>
        <w:tc>
          <w:tcPr>
            <w:tcW w:w="1018" w:type="dxa"/>
            <w:vAlign w:val="center"/>
          </w:tcPr>
          <w:p w14:paraId="6FF598EC">
            <w:pPr>
              <w:widowControl w:val="0"/>
              <w:jc w:val="center"/>
              <w:textAlignment w:val="center"/>
              <w:rPr>
                <w:rFonts w:hint="default" w:ascii="Arial Narrow" w:hAnsi="Arial Narrow" w:eastAsia="楷体_GB2312" w:cs="Arial Narrow"/>
                <w:b w:val="0"/>
                <w:bCs w:val="0"/>
                <w:sz w:val="21"/>
                <w:szCs w:val="21"/>
                <w:lang w:val="en-US" w:eastAsia="zh-CN"/>
              </w:rPr>
            </w:pPr>
          </w:p>
        </w:tc>
        <w:tc>
          <w:tcPr>
            <w:tcW w:w="1157" w:type="dxa"/>
            <w:vAlign w:val="center"/>
          </w:tcPr>
          <w:p w14:paraId="0D020040">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1.56 </w:t>
            </w:r>
          </w:p>
        </w:tc>
      </w:tr>
      <w:tr w14:paraId="3F777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5C84856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b w:val="0"/>
                <w:bCs w:val="0"/>
                <w:sz w:val="21"/>
                <w:szCs w:val="21"/>
                <w:lang w:val="en-US" w:eastAsia="zh-CN"/>
              </w:rPr>
              <w:t>2.</w:t>
            </w:r>
            <w:r>
              <w:rPr>
                <w:rFonts w:hint="eastAsia" w:ascii="Arial Narrow" w:hAnsi="Arial Narrow" w:eastAsia="楷体_GB2312" w:cs="Arial Narrow"/>
                <w:b w:val="0"/>
                <w:bCs w:val="0"/>
                <w:sz w:val="21"/>
                <w:szCs w:val="21"/>
                <w:lang w:val="en-US" w:eastAsia="zh-CN"/>
              </w:rPr>
              <w:t>5</w:t>
            </w:r>
          </w:p>
        </w:tc>
        <w:tc>
          <w:tcPr>
            <w:tcW w:w="1863" w:type="pct"/>
            <w:vAlign w:val="center"/>
          </w:tcPr>
          <w:p w14:paraId="4CB0ACE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1米宽土路</w:t>
            </w:r>
          </w:p>
        </w:tc>
        <w:tc>
          <w:tcPr>
            <w:tcW w:w="1149" w:type="dxa"/>
            <w:vAlign w:val="center"/>
          </w:tcPr>
          <w:p w14:paraId="5E0AFCFD">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5.07 </w:t>
            </w:r>
          </w:p>
        </w:tc>
        <w:tc>
          <w:tcPr>
            <w:tcW w:w="1018" w:type="dxa"/>
            <w:vAlign w:val="center"/>
          </w:tcPr>
          <w:p w14:paraId="4CDE3178">
            <w:pPr>
              <w:widowControl w:val="0"/>
              <w:jc w:val="center"/>
              <w:textAlignment w:val="center"/>
              <w:rPr>
                <w:rFonts w:hint="default" w:ascii="Arial Narrow" w:hAnsi="Arial Narrow" w:eastAsia="楷体_GB2312" w:cs="Arial Narrow"/>
                <w:b w:val="0"/>
                <w:bCs w:val="0"/>
                <w:sz w:val="21"/>
                <w:szCs w:val="21"/>
                <w:lang w:val="en-US" w:eastAsia="zh-CN"/>
              </w:rPr>
            </w:pPr>
          </w:p>
        </w:tc>
        <w:tc>
          <w:tcPr>
            <w:tcW w:w="1018" w:type="dxa"/>
            <w:vAlign w:val="center"/>
          </w:tcPr>
          <w:p w14:paraId="579F95F5">
            <w:pPr>
              <w:widowControl w:val="0"/>
              <w:jc w:val="center"/>
              <w:textAlignment w:val="center"/>
              <w:rPr>
                <w:rFonts w:hint="default" w:ascii="Arial Narrow" w:hAnsi="Arial Narrow" w:eastAsia="楷体_GB2312" w:cs="Arial Narrow"/>
                <w:b w:val="0"/>
                <w:bCs w:val="0"/>
                <w:sz w:val="21"/>
                <w:szCs w:val="21"/>
                <w:lang w:val="en-US" w:eastAsia="zh-CN"/>
              </w:rPr>
            </w:pPr>
          </w:p>
        </w:tc>
        <w:tc>
          <w:tcPr>
            <w:tcW w:w="1157" w:type="dxa"/>
            <w:vAlign w:val="center"/>
          </w:tcPr>
          <w:p w14:paraId="06059EA4">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5.07 </w:t>
            </w:r>
          </w:p>
        </w:tc>
      </w:tr>
      <w:tr w14:paraId="384FE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5BA63FE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b w:val="0"/>
                <w:bCs w:val="0"/>
                <w:sz w:val="21"/>
                <w:szCs w:val="21"/>
                <w:lang w:val="en-US" w:eastAsia="zh-CN"/>
              </w:rPr>
              <w:t>2.</w:t>
            </w:r>
            <w:r>
              <w:rPr>
                <w:rFonts w:hint="eastAsia" w:ascii="Arial Narrow" w:hAnsi="Arial Narrow" w:eastAsia="楷体_GB2312" w:cs="Arial Narrow"/>
                <w:b w:val="0"/>
                <w:bCs w:val="0"/>
                <w:sz w:val="21"/>
                <w:szCs w:val="21"/>
                <w:lang w:val="en-US" w:eastAsia="zh-CN"/>
              </w:rPr>
              <w:t>6</w:t>
            </w:r>
          </w:p>
        </w:tc>
        <w:tc>
          <w:tcPr>
            <w:tcW w:w="1863" w:type="pct"/>
            <w:vAlign w:val="center"/>
          </w:tcPr>
          <w:p w14:paraId="686B2EB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3米宽土路（含路肩）</w:t>
            </w:r>
          </w:p>
        </w:tc>
        <w:tc>
          <w:tcPr>
            <w:tcW w:w="1149" w:type="dxa"/>
            <w:vAlign w:val="center"/>
          </w:tcPr>
          <w:p w14:paraId="1E7A2138">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1.65 </w:t>
            </w:r>
          </w:p>
        </w:tc>
        <w:tc>
          <w:tcPr>
            <w:tcW w:w="1018" w:type="dxa"/>
            <w:vAlign w:val="center"/>
          </w:tcPr>
          <w:p w14:paraId="3DBFA369">
            <w:pPr>
              <w:widowControl w:val="0"/>
              <w:jc w:val="center"/>
              <w:textAlignment w:val="center"/>
              <w:rPr>
                <w:rFonts w:hint="default" w:ascii="Arial Narrow" w:hAnsi="Arial Narrow" w:eastAsia="楷体_GB2312" w:cs="Arial Narrow"/>
                <w:b w:val="0"/>
                <w:bCs w:val="0"/>
                <w:sz w:val="21"/>
                <w:szCs w:val="21"/>
                <w:lang w:val="en-US" w:eastAsia="zh-CN"/>
              </w:rPr>
            </w:pPr>
          </w:p>
        </w:tc>
        <w:tc>
          <w:tcPr>
            <w:tcW w:w="1018" w:type="dxa"/>
            <w:vAlign w:val="center"/>
          </w:tcPr>
          <w:p w14:paraId="2368A5D3">
            <w:pPr>
              <w:widowControl w:val="0"/>
              <w:jc w:val="center"/>
              <w:textAlignment w:val="center"/>
              <w:rPr>
                <w:rFonts w:hint="default" w:ascii="Arial Narrow" w:hAnsi="Arial Narrow" w:eastAsia="楷体_GB2312" w:cs="Arial Narrow"/>
                <w:b w:val="0"/>
                <w:bCs w:val="0"/>
                <w:sz w:val="21"/>
                <w:szCs w:val="21"/>
                <w:lang w:val="en-US" w:eastAsia="zh-CN"/>
              </w:rPr>
            </w:pPr>
          </w:p>
        </w:tc>
        <w:tc>
          <w:tcPr>
            <w:tcW w:w="1157" w:type="dxa"/>
            <w:vAlign w:val="center"/>
          </w:tcPr>
          <w:p w14:paraId="72C71E81">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1.65 </w:t>
            </w:r>
          </w:p>
        </w:tc>
      </w:tr>
      <w:tr w14:paraId="021C6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51D6D3B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3</w:t>
            </w:r>
          </w:p>
        </w:tc>
        <w:tc>
          <w:tcPr>
            <w:tcW w:w="1863" w:type="pct"/>
            <w:vAlign w:val="center"/>
          </w:tcPr>
          <w:p w14:paraId="55B5FC40">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林地流转费</w:t>
            </w:r>
          </w:p>
        </w:tc>
        <w:tc>
          <w:tcPr>
            <w:tcW w:w="1149" w:type="dxa"/>
            <w:vAlign w:val="center"/>
          </w:tcPr>
          <w:p w14:paraId="14768C75">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i w:val="0"/>
                <w:iCs w:val="0"/>
                <w:kern w:val="0"/>
                <w:sz w:val="21"/>
                <w:szCs w:val="21"/>
                <w:u w:val="none"/>
                <w:lang w:val="en-US" w:eastAsia="zh-CN" w:bidi="ar"/>
              </w:rPr>
              <w:t xml:space="preserve">58.12 </w:t>
            </w:r>
          </w:p>
        </w:tc>
        <w:tc>
          <w:tcPr>
            <w:tcW w:w="1018" w:type="dxa"/>
            <w:vAlign w:val="center"/>
          </w:tcPr>
          <w:p w14:paraId="4F3D480F">
            <w:pPr>
              <w:widowControl w:val="0"/>
              <w:jc w:val="center"/>
              <w:textAlignment w:val="center"/>
              <w:rPr>
                <w:rFonts w:hint="default" w:ascii="Arial Narrow" w:hAnsi="Arial Narrow" w:eastAsia="楷体_GB2312" w:cs="Arial Narrow"/>
                <w:b/>
                <w:bCs/>
                <w:sz w:val="21"/>
                <w:szCs w:val="21"/>
                <w:lang w:val="en-US" w:eastAsia="zh-CN"/>
              </w:rPr>
            </w:pPr>
          </w:p>
        </w:tc>
        <w:tc>
          <w:tcPr>
            <w:tcW w:w="1018" w:type="dxa"/>
            <w:vAlign w:val="center"/>
          </w:tcPr>
          <w:p w14:paraId="6A3C90D3">
            <w:pPr>
              <w:widowControl w:val="0"/>
              <w:jc w:val="center"/>
              <w:textAlignment w:val="center"/>
              <w:rPr>
                <w:rFonts w:hint="default" w:ascii="Arial Narrow" w:hAnsi="Arial Narrow" w:eastAsia="楷体_GB2312" w:cs="Arial Narrow"/>
                <w:b/>
                <w:bCs/>
                <w:sz w:val="21"/>
                <w:szCs w:val="21"/>
                <w:lang w:val="en-US" w:eastAsia="zh-CN"/>
              </w:rPr>
            </w:pPr>
          </w:p>
        </w:tc>
        <w:tc>
          <w:tcPr>
            <w:tcW w:w="1157" w:type="dxa"/>
            <w:vAlign w:val="center"/>
          </w:tcPr>
          <w:p w14:paraId="6FC1318C">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i w:val="0"/>
                <w:iCs w:val="0"/>
                <w:kern w:val="0"/>
                <w:sz w:val="21"/>
                <w:szCs w:val="21"/>
                <w:u w:val="none"/>
                <w:lang w:val="en-US" w:eastAsia="zh-CN" w:bidi="ar"/>
              </w:rPr>
              <w:t xml:space="preserve">58.12 </w:t>
            </w:r>
          </w:p>
        </w:tc>
      </w:tr>
      <w:tr w14:paraId="729FC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52670F3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b w:val="0"/>
                <w:bCs w:val="0"/>
                <w:sz w:val="21"/>
                <w:szCs w:val="21"/>
                <w:lang w:val="en-US" w:eastAsia="zh-CN"/>
              </w:rPr>
              <w:t>3.1</w:t>
            </w:r>
          </w:p>
        </w:tc>
        <w:tc>
          <w:tcPr>
            <w:tcW w:w="1863" w:type="pct"/>
            <w:vAlign w:val="center"/>
          </w:tcPr>
          <w:p w14:paraId="19E18B5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b w:val="0"/>
                <w:bCs w:val="0"/>
                <w:sz w:val="21"/>
                <w:szCs w:val="21"/>
                <w:lang w:val="en-US" w:eastAsia="zh-CN"/>
              </w:rPr>
              <w:t>100元/亩/年标准</w:t>
            </w:r>
          </w:p>
        </w:tc>
        <w:tc>
          <w:tcPr>
            <w:tcW w:w="1149" w:type="dxa"/>
            <w:vAlign w:val="center"/>
          </w:tcPr>
          <w:p w14:paraId="137A0713">
            <w:pPr>
              <w:widowControl w:val="0"/>
              <w:jc w:val="center"/>
              <w:textAlignment w:val="center"/>
              <w:rPr>
                <w:rFonts w:hint="default" w:ascii="Arial Narrow" w:hAnsi="Arial Narrow" w:eastAsia="楷体_GB2312" w:cs="Arial Narrow"/>
                <w:b w:val="0"/>
                <w:bCs w:val="0"/>
                <w:sz w:val="21"/>
                <w:szCs w:val="21"/>
                <w:lang w:val="en-US" w:eastAsia="zh-CN"/>
              </w:rPr>
            </w:pPr>
          </w:p>
        </w:tc>
        <w:tc>
          <w:tcPr>
            <w:tcW w:w="1018" w:type="dxa"/>
            <w:vAlign w:val="center"/>
          </w:tcPr>
          <w:p w14:paraId="549451E2">
            <w:pPr>
              <w:widowControl w:val="0"/>
              <w:jc w:val="center"/>
              <w:textAlignment w:val="center"/>
              <w:rPr>
                <w:rFonts w:hint="default" w:ascii="Arial Narrow" w:hAnsi="Arial Narrow" w:eastAsia="楷体_GB2312" w:cs="Arial Narrow"/>
                <w:b w:val="0"/>
                <w:bCs w:val="0"/>
                <w:sz w:val="21"/>
                <w:szCs w:val="21"/>
                <w:lang w:val="en-US" w:eastAsia="zh-CN"/>
              </w:rPr>
            </w:pPr>
          </w:p>
        </w:tc>
        <w:tc>
          <w:tcPr>
            <w:tcW w:w="1018" w:type="dxa"/>
            <w:vAlign w:val="center"/>
          </w:tcPr>
          <w:p w14:paraId="3E5D4BC8">
            <w:pPr>
              <w:widowControl w:val="0"/>
              <w:jc w:val="center"/>
              <w:textAlignment w:val="center"/>
              <w:rPr>
                <w:rFonts w:hint="default" w:ascii="Arial Narrow" w:hAnsi="Arial Narrow" w:eastAsia="楷体_GB2312" w:cs="Arial Narrow"/>
                <w:b w:val="0"/>
                <w:bCs w:val="0"/>
                <w:sz w:val="21"/>
                <w:szCs w:val="21"/>
                <w:lang w:val="en-US" w:eastAsia="zh-CN"/>
              </w:rPr>
            </w:pPr>
          </w:p>
        </w:tc>
        <w:tc>
          <w:tcPr>
            <w:tcW w:w="1157" w:type="dxa"/>
            <w:vAlign w:val="center"/>
          </w:tcPr>
          <w:p w14:paraId="6D2F9867">
            <w:pPr>
              <w:widowControl w:val="0"/>
              <w:jc w:val="center"/>
              <w:textAlignment w:val="center"/>
              <w:rPr>
                <w:rFonts w:hint="default" w:ascii="Arial Narrow" w:hAnsi="Arial Narrow" w:eastAsia="楷体_GB2312" w:cs="Arial Narrow"/>
                <w:b w:val="0"/>
                <w:bCs w:val="0"/>
                <w:sz w:val="21"/>
                <w:szCs w:val="21"/>
                <w:lang w:val="en-US" w:eastAsia="zh-CN"/>
              </w:rPr>
            </w:pPr>
          </w:p>
        </w:tc>
      </w:tr>
      <w:tr w14:paraId="56EAD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539CE7C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b w:val="0"/>
                <w:bCs w:val="0"/>
                <w:sz w:val="21"/>
                <w:szCs w:val="21"/>
                <w:lang w:val="en-US" w:eastAsia="zh-CN"/>
              </w:rPr>
              <w:t>3.2</w:t>
            </w:r>
          </w:p>
        </w:tc>
        <w:tc>
          <w:tcPr>
            <w:tcW w:w="1863" w:type="pct"/>
            <w:vAlign w:val="center"/>
          </w:tcPr>
          <w:p w14:paraId="69D11B4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b w:val="0"/>
                <w:bCs w:val="0"/>
                <w:sz w:val="21"/>
                <w:szCs w:val="21"/>
                <w:lang w:val="en-US" w:eastAsia="zh-CN"/>
              </w:rPr>
              <w:t>150元/亩/年标准</w:t>
            </w:r>
          </w:p>
        </w:tc>
        <w:tc>
          <w:tcPr>
            <w:tcW w:w="1149" w:type="dxa"/>
            <w:vAlign w:val="center"/>
          </w:tcPr>
          <w:p w14:paraId="54A750A7">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58.12 </w:t>
            </w:r>
          </w:p>
        </w:tc>
        <w:tc>
          <w:tcPr>
            <w:tcW w:w="1018" w:type="dxa"/>
            <w:vAlign w:val="center"/>
          </w:tcPr>
          <w:p w14:paraId="196121DC">
            <w:pPr>
              <w:widowControl w:val="0"/>
              <w:jc w:val="center"/>
              <w:textAlignment w:val="center"/>
              <w:rPr>
                <w:rFonts w:hint="default" w:ascii="Arial Narrow" w:hAnsi="Arial Narrow" w:eastAsia="楷体_GB2312" w:cs="Arial Narrow"/>
                <w:b w:val="0"/>
                <w:bCs w:val="0"/>
                <w:sz w:val="21"/>
                <w:szCs w:val="21"/>
                <w:lang w:val="en-US" w:eastAsia="zh-CN"/>
              </w:rPr>
            </w:pPr>
          </w:p>
        </w:tc>
        <w:tc>
          <w:tcPr>
            <w:tcW w:w="1018" w:type="dxa"/>
            <w:vAlign w:val="center"/>
          </w:tcPr>
          <w:p w14:paraId="01E7F76B">
            <w:pPr>
              <w:widowControl w:val="0"/>
              <w:jc w:val="center"/>
              <w:textAlignment w:val="center"/>
              <w:rPr>
                <w:rFonts w:hint="default" w:ascii="Arial Narrow" w:hAnsi="Arial Narrow" w:eastAsia="楷体_GB2312" w:cs="Arial Narrow"/>
                <w:b w:val="0"/>
                <w:bCs w:val="0"/>
                <w:sz w:val="21"/>
                <w:szCs w:val="21"/>
                <w:lang w:val="en-US" w:eastAsia="zh-CN"/>
              </w:rPr>
            </w:pPr>
          </w:p>
        </w:tc>
        <w:tc>
          <w:tcPr>
            <w:tcW w:w="1157" w:type="dxa"/>
            <w:vAlign w:val="center"/>
          </w:tcPr>
          <w:p w14:paraId="7BA2ED9A">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58.12 </w:t>
            </w:r>
          </w:p>
        </w:tc>
      </w:tr>
      <w:tr w14:paraId="486C1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08D3724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b w:val="0"/>
                <w:bCs w:val="0"/>
                <w:sz w:val="21"/>
                <w:szCs w:val="21"/>
                <w:lang w:val="en-US" w:eastAsia="zh-CN"/>
              </w:rPr>
              <w:t>3.3</w:t>
            </w:r>
          </w:p>
        </w:tc>
        <w:tc>
          <w:tcPr>
            <w:tcW w:w="1863" w:type="pct"/>
            <w:vAlign w:val="center"/>
          </w:tcPr>
          <w:p w14:paraId="0D05763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b w:val="0"/>
                <w:bCs w:val="0"/>
                <w:sz w:val="21"/>
                <w:szCs w:val="21"/>
                <w:lang w:val="en-US" w:eastAsia="zh-CN"/>
              </w:rPr>
              <w:t>50元/亩/年</w:t>
            </w:r>
          </w:p>
        </w:tc>
        <w:tc>
          <w:tcPr>
            <w:tcW w:w="1149" w:type="dxa"/>
            <w:vAlign w:val="center"/>
          </w:tcPr>
          <w:p w14:paraId="07701114">
            <w:pPr>
              <w:widowControl w:val="0"/>
              <w:jc w:val="center"/>
              <w:textAlignment w:val="center"/>
              <w:rPr>
                <w:rFonts w:hint="default" w:ascii="Arial Narrow" w:hAnsi="Arial Narrow" w:eastAsia="楷体_GB2312" w:cs="Arial Narrow"/>
                <w:b w:val="0"/>
                <w:bCs w:val="0"/>
                <w:sz w:val="21"/>
                <w:szCs w:val="21"/>
                <w:lang w:val="en-US" w:eastAsia="zh-CN"/>
              </w:rPr>
            </w:pPr>
          </w:p>
        </w:tc>
        <w:tc>
          <w:tcPr>
            <w:tcW w:w="1018" w:type="dxa"/>
            <w:vAlign w:val="center"/>
          </w:tcPr>
          <w:p w14:paraId="46DFD730">
            <w:pPr>
              <w:widowControl w:val="0"/>
              <w:jc w:val="center"/>
              <w:textAlignment w:val="center"/>
              <w:rPr>
                <w:rFonts w:hint="default" w:ascii="Arial Narrow" w:hAnsi="Arial Narrow" w:eastAsia="楷体_GB2312" w:cs="Arial Narrow"/>
                <w:b w:val="0"/>
                <w:bCs w:val="0"/>
                <w:sz w:val="21"/>
                <w:szCs w:val="21"/>
                <w:lang w:val="en-US" w:eastAsia="zh-CN"/>
              </w:rPr>
            </w:pPr>
          </w:p>
        </w:tc>
        <w:tc>
          <w:tcPr>
            <w:tcW w:w="1018" w:type="dxa"/>
            <w:vAlign w:val="center"/>
          </w:tcPr>
          <w:p w14:paraId="086308EF">
            <w:pPr>
              <w:widowControl w:val="0"/>
              <w:jc w:val="center"/>
              <w:textAlignment w:val="center"/>
              <w:rPr>
                <w:rFonts w:hint="default" w:ascii="Arial Narrow" w:hAnsi="Arial Narrow" w:eastAsia="楷体_GB2312" w:cs="Arial Narrow"/>
                <w:b w:val="0"/>
                <w:bCs w:val="0"/>
                <w:sz w:val="21"/>
                <w:szCs w:val="21"/>
                <w:lang w:val="en-US" w:eastAsia="zh-CN"/>
              </w:rPr>
            </w:pPr>
          </w:p>
        </w:tc>
        <w:tc>
          <w:tcPr>
            <w:tcW w:w="1157" w:type="dxa"/>
            <w:vAlign w:val="center"/>
          </w:tcPr>
          <w:p w14:paraId="30CC2D12">
            <w:pPr>
              <w:widowControl w:val="0"/>
              <w:jc w:val="center"/>
              <w:textAlignment w:val="center"/>
              <w:rPr>
                <w:rFonts w:hint="default" w:ascii="Arial Narrow" w:hAnsi="Arial Narrow" w:eastAsia="楷体_GB2312" w:cs="Arial Narrow"/>
                <w:b w:val="0"/>
                <w:bCs w:val="0"/>
                <w:sz w:val="21"/>
                <w:szCs w:val="21"/>
                <w:lang w:val="en-US" w:eastAsia="zh-CN"/>
              </w:rPr>
            </w:pPr>
          </w:p>
        </w:tc>
      </w:tr>
      <w:tr w14:paraId="6262B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0A25B20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4</w:t>
            </w:r>
          </w:p>
        </w:tc>
        <w:tc>
          <w:tcPr>
            <w:tcW w:w="1863" w:type="pct"/>
            <w:vAlign w:val="center"/>
          </w:tcPr>
          <w:p w14:paraId="47FBB73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其他费用</w:t>
            </w:r>
          </w:p>
        </w:tc>
        <w:tc>
          <w:tcPr>
            <w:tcW w:w="1149" w:type="dxa"/>
            <w:vAlign w:val="center"/>
          </w:tcPr>
          <w:p w14:paraId="2441E693">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i w:val="0"/>
                <w:iCs w:val="0"/>
                <w:kern w:val="0"/>
                <w:sz w:val="21"/>
                <w:szCs w:val="21"/>
                <w:u w:val="none"/>
                <w:lang w:val="en-US" w:eastAsia="zh-CN" w:bidi="ar"/>
              </w:rPr>
              <w:t xml:space="preserve">57.52 </w:t>
            </w:r>
          </w:p>
        </w:tc>
        <w:tc>
          <w:tcPr>
            <w:tcW w:w="1018" w:type="dxa"/>
            <w:vAlign w:val="center"/>
          </w:tcPr>
          <w:p w14:paraId="2B826E28">
            <w:pPr>
              <w:widowControl w:val="0"/>
              <w:jc w:val="center"/>
              <w:textAlignment w:val="center"/>
              <w:rPr>
                <w:rFonts w:hint="default" w:ascii="Arial Narrow" w:hAnsi="Arial Narrow" w:eastAsia="楷体_GB2312" w:cs="Arial Narrow"/>
                <w:b/>
                <w:bCs/>
                <w:sz w:val="21"/>
                <w:szCs w:val="21"/>
                <w:lang w:val="en-US" w:eastAsia="zh-CN"/>
              </w:rPr>
            </w:pPr>
          </w:p>
        </w:tc>
        <w:tc>
          <w:tcPr>
            <w:tcW w:w="1018" w:type="dxa"/>
            <w:vAlign w:val="center"/>
          </w:tcPr>
          <w:p w14:paraId="04B5A033">
            <w:pPr>
              <w:widowControl w:val="0"/>
              <w:jc w:val="center"/>
              <w:textAlignment w:val="center"/>
              <w:rPr>
                <w:rFonts w:hint="default" w:ascii="Arial Narrow" w:hAnsi="Arial Narrow" w:eastAsia="楷体_GB2312" w:cs="Arial Narrow"/>
                <w:b/>
                <w:bCs/>
                <w:sz w:val="21"/>
                <w:szCs w:val="21"/>
                <w:lang w:val="en-US" w:eastAsia="zh-CN"/>
              </w:rPr>
            </w:pPr>
          </w:p>
        </w:tc>
        <w:tc>
          <w:tcPr>
            <w:tcW w:w="1157" w:type="dxa"/>
            <w:vAlign w:val="center"/>
          </w:tcPr>
          <w:p w14:paraId="04F24EFC">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i w:val="0"/>
                <w:iCs w:val="0"/>
                <w:kern w:val="0"/>
                <w:sz w:val="21"/>
                <w:szCs w:val="21"/>
                <w:u w:val="none"/>
                <w:lang w:val="en-US" w:eastAsia="zh-CN" w:bidi="ar"/>
              </w:rPr>
              <w:t xml:space="preserve">57.52 </w:t>
            </w:r>
          </w:p>
        </w:tc>
      </w:tr>
      <w:tr w14:paraId="08E60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35AD21B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b w:val="0"/>
                <w:bCs w:val="0"/>
                <w:sz w:val="21"/>
                <w:szCs w:val="21"/>
                <w:lang w:val="en-US" w:eastAsia="zh-CN"/>
              </w:rPr>
              <w:t>4.1</w:t>
            </w:r>
          </w:p>
        </w:tc>
        <w:tc>
          <w:tcPr>
            <w:tcW w:w="1863" w:type="pct"/>
            <w:vAlign w:val="center"/>
          </w:tcPr>
          <w:p w14:paraId="0E67DAD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 w:cs="Arial Narrow"/>
                <w:b w:val="0"/>
                <w:bCs w:val="0"/>
                <w:i w:val="0"/>
                <w:iCs w:val="0"/>
                <w:color w:val="000000"/>
                <w:sz w:val="21"/>
                <w:szCs w:val="21"/>
                <w:u w:val="none"/>
                <w:lang w:val="en-US" w:eastAsia="zh-CN"/>
              </w:rPr>
              <w:t>建设单位管理费</w:t>
            </w:r>
          </w:p>
        </w:tc>
        <w:tc>
          <w:tcPr>
            <w:tcW w:w="1149" w:type="dxa"/>
            <w:vAlign w:val="center"/>
          </w:tcPr>
          <w:p w14:paraId="50DB758E">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22.41 </w:t>
            </w:r>
          </w:p>
        </w:tc>
        <w:tc>
          <w:tcPr>
            <w:tcW w:w="1018" w:type="dxa"/>
            <w:vAlign w:val="center"/>
          </w:tcPr>
          <w:p w14:paraId="387F73AA">
            <w:pPr>
              <w:widowControl w:val="0"/>
              <w:jc w:val="center"/>
              <w:textAlignment w:val="center"/>
              <w:rPr>
                <w:rFonts w:hint="default" w:ascii="Arial Narrow" w:hAnsi="Arial Narrow" w:eastAsia="楷体_GB2312" w:cs="Arial Narrow"/>
                <w:b w:val="0"/>
                <w:bCs w:val="0"/>
                <w:sz w:val="21"/>
                <w:szCs w:val="21"/>
                <w:lang w:val="en-US" w:eastAsia="zh-CN"/>
              </w:rPr>
            </w:pPr>
          </w:p>
        </w:tc>
        <w:tc>
          <w:tcPr>
            <w:tcW w:w="1018" w:type="dxa"/>
            <w:vAlign w:val="center"/>
          </w:tcPr>
          <w:p w14:paraId="2F35B99F">
            <w:pPr>
              <w:widowControl w:val="0"/>
              <w:jc w:val="center"/>
              <w:textAlignment w:val="center"/>
              <w:rPr>
                <w:rFonts w:hint="default" w:ascii="Arial Narrow" w:hAnsi="Arial Narrow" w:eastAsia="楷体_GB2312" w:cs="Arial Narrow"/>
                <w:b w:val="0"/>
                <w:bCs w:val="0"/>
                <w:sz w:val="21"/>
                <w:szCs w:val="21"/>
                <w:lang w:val="en-US" w:eastAsia="zh-CN"/>
              </w:rPr>
            </w:pPr>
          </w:p>
        </w:tc>
        <w:tc>
          <w:tcPr>
            <w:tcW w:w="1157" w:type="dxa"/>
            <w:vAlign w:val="center"/>
          </w:tcPr>
          <w:p w14:paraId="78EEB672">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22.41 </w:t>
            </w:r>
          </w:p>
        </w:tc>
      </w:tr>
      <w:tr w14:paraId="7A39B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62B7DCC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（1）</w:t>
            </w:r>
          </w:p>
        </w:tc>
        <w:tc>
          <w:tcPr>
            <w:tcW w:w="1863" w:type="pct"/>
            <w:vAlign w:val="center"/>
          </w:tcPr>
          <w:p w14:paraId="7535A4A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 w:cs="Arial Narrow"/>
                <w:b w:val="0"/>
                <w:bCs w:val="0"/>
                <w:i w:val="0"/>
                <w:iCs w:val="0"/>
                <w:color w:val="000000"/>
                <w:sz w:val="21"/>
                <w:szCs w:val="21"/>
                <w:u w:val="none"/>
              </w:rPr>
              <w:t>建设单位管理费</w:t>
            </w:r>
          </w:p>
        </w:tc>
        <w:tc>
          <w:tcPr>
            <w:tcW w:w="1149" w:type="dxa"/>
            <w:vAlign w:val="center"/>
          </w:tcPr>
          <w:p w14:paraId="4EA7E57E">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12.57 </w:t>
            </w:r>
          </w:p>
        </w:tc>
        <w:tc>
          <w:tcPr>
            <w:tcW w:w="1018" w:type="dxa"/>
            <w:vAlign w:val="center"/>
          </w:tcPr>
          <w:p w14:paraId="20692839">
            <w:pPr>
              <w:widowControl w:val="0"/>
              <w:jc w:val="center"/>
              <w:textAlignment w:val="center"/>
              <w:rPr>
                <w:rFonts w:hint="default" w:ascii="Arial Narrow" w:hAnsi="Arial Narrow" w:eastAsia="楷体_GB2312" w:cs="Arial Narrow"/>
                <w:b w:val="0"/>
                <w:bCs w:val="0"/>
                <w:sz w:val="21"/>
                <w:szCs w:val="21"/>
                <w:lang w:val="en-US" w:eastAsia="zh-CN"/>
              </w:rPr>
            </w:pPr>
          </w:p>
        </w:tc>
        <w:tc>
          <w:tcPr>
            <w:tcW w:w="1018" w:type="dxa"/>
            <w:vAlign w:val="center"/>
          </w:tcPr>
          <w:p w14:paraId="6CF83217">
            <w:pPr>
              <w:widowControl w:val="0"/>
              <w:jc w:val="center"/>
              <w:textAlignment w:val="center"/>
              <w:rPr>
                <w:rFonts w:hint="default" w:ascii="Arial Narrow" w:hAnsi="Arial Narrow" w:eastAsia="楷体_GB2312" w:cs="Arial Narrow"/>
                <w:b w:val="0"/>
                <w:bCs w:val="0"/>
                <w:sz w:val="21"/>
                <w:szCs w:val="21"/>
                <w:lang w:val="en-US" w:eastAsia="zh-CN"/>
              </w:rPr>
            </w:pPr>
          </w:p>
        </w:tc>
        <w:tc>
          <w:tcPr>
            <w:tcW w:w="1157" w:type="dxa"/>
            <w:vAlign w:val="center"/>
          </w:tcPr>
          <w:p w14:paraId="745F3F8F">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12.57 </w:t>
            </w:r>
          </w:p>
        </w:tc>
      </w:tr>
      <w:tr w14:paraId="73CE4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6362725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（2）</w:t>
            </w:r>
          </w:p>
        </w:tc>
        <w:tc>
          <w:tcPr>
            <w:tcW w:w="1863" w:type="pct"/>
            <w:vAlign w:val="center"/>
          </w:tcPr>
          <w:p w14:paraId="2038161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 w:cs="Arial Narrow"/>
                <w:b w:val="0"/>
                <w:bCs w:val="0"/>
                <w:i w:val="0"/>
                <w:iCs w:val="0"/>
                <w:color w:val="000000"/>
                <w:sz w:val="21"/>
                <w:szCs w:val="21"/>
                <w:u w:val="none"/>
              </w:rPr>
              <w:t>建设管理其他费</w:t>
            </w:r>
          </w:p>
        </w:tc>
        <w:tc>
          <w:tcPr>
            <w:tcW w:w="1149" w:type="dxa"/>
            <w:vAlign w:val="center"/>
          </w:tcPr>
          <w:p w14:paraId="24EB2D74">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9.84 </w:t>
            </w:r>
          </w:p>
        </w:tc>
        <w:tc>
          <w:tcPr>
            <w:tcW w:w="1018" w:type="dxa"/>
            <w:vAlign w:val="center"/>
          </w:tcPr>
          <w:p w14:paraId="41DDD7F3">
            <w:pPr>
              <w:widowControl w:val="0"/>
              <w:jc w:val="center"/>
              <w:textAlignment w:val="center"/>
              <w:rPr>
                <w:rFonts w:hint="default" w:ascii="Arial Narrow" w:hAnsi="Arial Narrow" w:eastAsia="楷体_GB2312" w:cs="Arial Narrow"/>
                <w:b w:val="0"/>
                <w:bCs w:val="0"/>
                <w:sz w:val="21"/>
                <w:szCs w:val="21"/>
                <w:lang w:val="en-US" w:eastAsia="zh-CN"/>
              </w:rPr>
            </w:pPr>
          </w:p>
        </w:tc>
        <w:tc>
          <w:tcPr>
            <w:tcW w:w="1018" w:type="dxa"/>
            <w:vAlign w:val="center"/>
          </w:tcPr>
          <w:p w14:paraId="5E5342DB">
            <w:pPr>
              <w:widowControl w:val="0"/>
              <w:jc w:val="center"/>
              <w:textAlignment w:val="center"/>
              <w:rPr>
                <w:rFonts w:hint="default" w:ascii="Arial Narrow" w:hAnsi="Arial Narrow" w:eastAsia="楷体_GB2312" w:cs="Arial Narrow"/>
                <w:b w:val="0"/>
                <w:bCs w:val="0"/>
                <w:sz w:val="21"/>
                <w:szCs w:val="21"/>
                <w:lang w:val="en-US" w:eastAsia="zh-CN"/>
              </w:rPr>
            </w:pPr>
          </w:p>
        </w:tc>
        <w:tc>
          <w:tcPr>
            <w:tcW w:w="1157" w:type="dxa"/>
            <w:vAlign w:val="center"/>
          </w:tcPr>
          <w:p w14:paraId="5C413B81">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9.84 </w:t>
            </w:r>
          </w:p>
        </w:tc>
      </w:tr>
      <w:tr w14:paraId="68472E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2D441F3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4.2</w:t>
            </w:r>
          </w:p>
        </w:tc>
        <w:tc>
          <w:tcPr>
            <w:tcW w:w="1863" w:type="pct"/>
            <w:vAlign w:val="center"/>
          </w:tcPr>
          <w:p w14:paraId="188556F9">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 w:cs="Arial Narrow"/>
                <w:b w:val="0"/>
                <w:bCs w:val="0"/>
                <w:i w:val="0"/>
                <w:iCs w:val="0"/>
                <w:color w:val="000000"/>
                <w:kern w:val="0"/>
                <w:sz w:val="21"/>
                <w:szCs w:val="21"/>
                <w:u w:val="none"/>
                <w:lang w:val="en-US" w:eastAsia="zh-CN" w:bidi="ar"/>
              </w:rPr>
              <w:t>工程监理费</w:t>
            </w:r>
          </w:p>
        </w:tc>
        <w:tc>
          <w:tcPr>
            <w:tcW w:w="1149" w:type="dxa"/>
            <w:vAlign w:val="center"/>
          </w:tcPr>
          <w:p w14:paraId="28EA759D">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14.22 </w:t>
            </w:r>
          </w:p>
        </w:tc>
        <w:tc>
          <w:tcPr>
            <w:tcW w:w="1018" w:type="dxa"/>
            <w:vAlign w:val="center"/>
          </w:tcPr>
          <w:p w14:paraId="7C2682F7">
            <w:pPr>
              <w:widowControl w:val="0"/>
              <w:jc w:val="center"/>
              <w:textAlignment w:val="center"/>
              <w:rPr>
                <w:rFonts w:hint="default" w:ascii="Arial Narrow" w:hAnsi="Arial Narrow" w:eastAsia="楷体_GB2312" w:cs="Arial Narrow"/>
                <w:b w:val="0"/>
                <w:bCs w:val="0"/>
                <w:sz w:val="21"/>
                <w:szCs w:val="21"/>
                <w:lang w:val="en-US" w:eastAsia="zh-CN"/>
              </w:rPr>
            </w:pPr>
          </w:p>
        </w:tc>
        <w:tc>
          <w:tcPr>
            <w:tcW w:w="1018" w:type="dxa"/>
            <w:vAlign w:val="center"/>
          </w:tcPr>
          <w:p w14:paraId="0F16C29F">
            <w:pPr>
              <w:widowControl w:val="0"/>
              <w:jc w:val="center"/>
              <w:textAlignment w:val="center"/>
              <w:rPr>
                <w:rFonts w:hint="default" w:ascii="Arial Narrow" w:hAnsi="Arial Narrow" w:eastAsia="楷体_GB2312" w:cs="Arial Narrow"/>
                <w:b w:val="0"/>
                <w:bCs w:val="0"/>
                <w:sz w:val="21"/>
                <w:szCs w:val="21"/>
                <w:lang w:val="en-US" w:eastAsia="zh-CN"/>
              </w:rPr>
            </w:pPr>
          </w:p>
        </w:tc>
        <w:tc>
          <w:tcPr>
            <w:tcW w:w="1157" w:type="dxa"/>
            <w:vAlign w:val="center"/>
          </w:tcPr>
          <w:p w14:paraId="4AFFF73D">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14.22 </w:t>
            </w:r>
          </w:p>
        </w:tc>
      </w:tr>
      <w:tr w14:paraId="4DAAB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7EA1A0A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4.3</w:t>
            </w:r>
          </w:p>
        </w:tc>
        <w:tc>
          <w:tcPr>
            <w:tcW w:w="1863" w:type="pct"/>
            <w:vAlign w:val="center"/>
          </w:tcPr>
          <w:p w14:paraId="0D8153D8">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eastAsia" w:ascii="Arial Narrow" w:hAnsi="Arial Narrow" w:eastAsia="楷体" w:cs="Arial Narrow"/>
                <w:b w:val="0"/>
                <w:bCs w:val="0"/>
                <w:i w:val="0"/>
                <w:iCs w:val="0"/>
                <w:color w:val="000000"/>
                <w:kern w:val="0"/>
                <w:sz w:val="21"/>
                <w:szCs w:val="21"/>
                <w:u w:val="none"/>
                <w:lang w:val="en-US" w:eastAsia="zh-CN" w:bidi="ar"/>
              </w:rPr>
              <w:t>项目使用林地咨询费</w:t>
            </w:r>
          </w:p>
        </w:tc>
        <w:tc>
          <w:tcPr>
            <w:tcW w:w="1149" w:type="dxa"/>
            <w:vAlign w:val="center"/>
          </w:tcPr>
          <w:p w14:paraId="3320F97C">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3.00 </w:t>
            </w:r>
          </w:p>
        </w:tc>
        <w:tc>
          <w:tcPr>
            <w:tcW w:w="1018" w:type="dxa"/>
            <w:vAlign w:val="center"/>
          </w:tcPr>
          <w:p w14:paraId="493E90F7">
            <w:pPr>
              <w:widowControl w:val="0"/>
              <w:jc w:val="center"/>
              <w:textAlignment w:val="center"/>
              <w:rPr>
                <w:rFonts w:hint="default" w:ascii="Arial Narrow" w:hAnsi="Arial Narrow" w:eastAsia="楷体_GB2312" w:cs="Arial Narrow"/>
                <w:b w:val="0"/>
                <w:bCs w:val="0"/>
                <w:sz w:val="21"/>
                <w:szCs w:val="21"/>
                <w:lang w:val="en-US" w:eastAsia="zh-CN"/>
              </w:rPr>
            </w:pPr>
          </w:p>
        </w:tc>
        <w:tc>
          <w:tcPr>
            <w:tcW w:w="1018" w:type="dxa"/>
            <w:vAlign w:val="center"/>
          </w:tcPr>
          <w:p w14:paraId="4274CF51">
            <w:pPr>
              <w:widowControl w:val="0"/>
              <w:jc w:val="center"/>
              <w:textAlignment w:val="center"/>
              <w:rPr>
                <w:rFonts w:hint="default" w:ascii="Arial Narrow" w:hAnsi="Arial Narrow" w:eastAsia="楷体_GB2312" w:cs="Arial Narrow"/>
                <w:b w:val="0"/>
                <w:bCs w:val="0"/>
                <w:sz w:val="21"/>
                <w:szCs w:val="21"/>
                <w:lang w:val="en-US" w:eastAsia="zh-CN"/>
              </w:rPr>
            </w:pPr>
          </w:p>
        </w:tc>
        <w:tc>
          <w:tcPr>
            <w:tcW w:w="1157" w:type="dxa"/>
            <w:vAlign w:val="center"/>
          </w:tcPr>
          <w:p w14:paraId="4268ACC0">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3.00 </w:t>
            </w:r>
          </w:p>
        </w:tc>
      </w:tr>
      <w:tr w14:paraId="5E3AF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6042F9D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4.4</w:t>
            </w:r>
          </w:p>
        </w:tc>
        <w:tc>
          <w:tcPr>
            <w:tcW w:w="1863" w:type="pct"/>
            <w:vAlign w:val="center"/>
          </w:tcPr>
          <w:p w14:paraId="4DEC9CAC">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 w:cs="Arial Narrow"/>
                <w:b w:val="0"/>
                <w:bCs w:val="0"/>
                <w:i w:val="0"/>
                <w:iCs w:val="0"/>
                <w:color w:val="000000"/>
                <w:kern w:val="0"/>
                <w:sz w:val="21"/>
                <w:szCs w:val="21"/>
                <w:u w:val="none"/>
                <w:lang w:val="en-US" w:eastAsia="zh-CN" w:bidi="ar"/>
              </w:rPr>
              <w:t>勘察设计费</w:t>
            </w:r>
          </w:p>
        </w:tc>
        <w:tc>
          <w:tcPr>
            <w:tcW w:w="1149" w:type="dxa"/>
            <w:vAlign w:val="center"/>
          </w:tcPr>
          <w:p w14:paraId="5A0D7FD6">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10.93 </w:t>
            </w:r>
          </w:p>
        </w:tc>
        <w:tc>
          <w:tcPr>
            <w:tcW w:w="1018" w:type="dxa"/>
            <w:vAlign w:val="center"/>
          </w:tcPr>
          <w:p w14:paraId="15BFC3DA">
            <w:pPr>
              <w:widowControl w:val="0"/>
              <w:jc w:val="center"/>
              <w:textAlignment w:val="center"/>
              <w:rPr>
                <w:rFonts w:hint="default" w:ascii="Arial Narrow" w:hAnsi="Arial Narrow" w:eastAsia="楷体_GB2312" w:cs="Arial Narrow"/>
                <w:b w:val="0"/>
                <w:bCs w:val="0"/>
                <w:sz w:val="21"/>
                <w:szCs w:val="21"/>
                <w:lang w:val="en-US" w:eastAsia="zh-CN"/>
              </w:rPr>
            </w:pPr>
          </w:p>
        </w:tc>
        <w:tc>
          <w:tcPr>
            <w:tcW w:w="1018" w:type="dxa"/>
            <w:vAlign w:val="center"/>
          </w:tcPr>
          <w:p w14:paraId="792D8593">
            <w:pPr>
              <w:widowControl w:val="0"/>
              <w:jc w:val="center"/>
              <w:textAlignment w:val="center"/>
              <w:rPr>
                <w:rFonts w:hint="default" w:ascii="Arial Narrow" w:hAnsi="Arial Narrow" w:eastAsia="楷体_GB2312" w:cs="Arial Narrow"/>
                <w:b w:val="0"/>
                <w:bCs w:val="0"/>
                <w:sz w:val="21"/>
                <w:szCs w:val="21"/>
                <w:lang w:val="en-US" w:eastAsia="zh-CN"/>
              </w:rPr>
            </w:pPr>
          </w:p>
        </w:tc>
        <w:tc>
          <w:tcPr>
            <w:tcW w:w="1157" w:type="dxa"/>
            <w:vAlign w:val="center"/>
          </w:tcPr>
          <w:p w14:paraId="2DD8B687">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10.93 </w:t>
            </w:r>
          </w:p>
        </w:tc>
      </w:tr>
      <w:tr w14:paraId="4442D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0B03648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4.5</w:t>
            </w:r>
          </w:p>
        </w:tc>
        <w:tc>
          <w:tcPr>
            <w:tcW w:w="1863" w:type="pct"/>
            <w:vAlign w:val="center"/>
          </w:tcPr>
          <w:p w14:paraId="149CA18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 w:cs="Arial Narrow"/>
                <w:b w:val="0"/>
                <w:bCs w:val="0"/>
                <w:i w:val="0"/>
                <w:iCs w:val="0"/>
                <w:color w:val="000000"/>
                <w:kern w:val="0"/>
                <w:sz w:val="21"/>
                <w:szCs w:val="21"/>
                <w:u w:val="none"/>
                <w:lang w:val="en-US" w:eastAsia="zh-CN" w:bidi="ar"/>
              </w:rPr>
              <w:t>环境影响咨询服务费</w:t>
            </w:r>
          </w:p>
        </w:tc>
        <w:tc>
          <w:tcPr>
            <w:tcW w:w="1149" w:type="dxa"/>
            <w:vAlign w:val="center"/>
          </w:tcPr>
          <w:p w14:paraId="2DDA6401">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1.50 </w:t>
            </w:r>
          </w:p>
        </w:tc>
        <w:tc>
          <w:tcPr>
            <w:tcW w:w="1018" w:type="dxa"/>
            <w:vAlign w:val="center"/>
          </w:tcPr>
          <w:p w14:paraId="6EF25313">
            <w:pPr>
              <w:widowControl w:val="0"/>
              <w:jc w:val="center"/>
              <w:textAlignment w:val="center"/>
              <w:rPr>
                <w:rFonts w:hint="default" w:ascii="Arial Narrow" w:hAnsi="Arial Narrow" w:eastAsia="楷体_GB2312" w:cs="Arial Narrow"/>
                <w:b w:val="0"/>
                <w:bCs w:val="0"/>
                <w:sz w:val="21"/>
                <w:szCs w:val="21"/>
                <w:lang w:val="en-US" w:eastAsia="zh-CN"/>
              </w:rPr>
            </w:pPr>
          </w:p>
        </w:tc>
        <w:tc>
          <w:tcPr>
            <w:tcW w:w="1018" w:type="dxa"/>
            <w:vAlign w:val="center"/>
          </w:tcPr>
          <w:p w14:paraId="3C084463">
            <w:pPr>
              <w:widowControl w:val="0"/>
              <w:jc w:val="center"/>
              <w:textAlignment w:val="center"/>
              <w:rPr>
                <w:rFonts w:hint="default" w:ascii="Arial Narrow" w:hAnsi="Arial Narrow" w:eastAsia="楷体_GB2312" w:cs="Arial Narrow"/>
                <w:b w:val="0"/>
                <w:bCs w:val="0"/>
                <w:sz w:val="21"/>
                <w:szCs w:val="21"/>
                <w:lang w:val="en-US" w:eastAsia="zh-CN"/>
              </w:rPr>
            </w:pPr>
          </w:p>
        </w:tc>
        <w:tc>
          <w:tcPr>
            <w:tcW w:w="1157" w:type="dxa"/>
            <w:vAlign w:val="center"/>
          </w:tcPr>
          <w:p w14:paraId="510AD18F">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1.50 </w:t>
            </w:r>
          </w:p>
        </w:tc>
      </w:tr>
      <w:tr w14:paraId="2DBAFE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4DB6C02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4.6</w:t>
            </w:r>
          </w:p>
        </w:tc>
        <w:tc>
          <w:tcPr>
            <w:tcW w:w="1863" w:type="pct"/>
            <w:vAlign w:val="center"/>
          </w:tcPr>
          <w:p w14:paraId="22242D44">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 w:cs="Arial Narrow"/>
                <w:b w:val="0"/>
                <w:bCs w:val="0"/>
                <w:i w:val="0"/>
                <w:iCs w:val="0"/>
                <w:color w:val="000000"/>
                <w:kern w:val="0"/>
                <w:sz w:val="21"/>
                <w:szCs w:val="21"/>
                <w:u w:val="none"/>
                <w:lang w:val="en-US" w:eastAsia="zh-CN" w:bidi="ar"/>
              </w:rPr>
              <w:t>场地准备及临时设施费</w:t>
            </w:r>
          </w:p>
        </w:tc>
        <w:tc>
          <w:tcPr>
            <w:tcW w:w="1149" w:type="dxa"/>
            <w:vAlign w:val="center"/>
          </w:tcPr>
          <w:p w14:paraId="3F4FA9EA">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4.37 </w:t>
            </w:r>
          </w:p>
        </w:tc>
        <w:tc>
          <w:tcPr>
            <w:tcW w:w="1018" w:type="dxa"/>
            <w:vAlign w:val="center"/>
          </w:tcPr>
          <w:p w14:paraId="4386F930">
            <w:pPr>
              <w:widowControl w:val="0"/>
              <w:jc w:val="center"/>
              <w:textAlignment w:val="center"/>
              <w:rPr>
                <w:rFonts w:hint="default" w:ascii="Arial Narrow" w:hAnsi="Arial Narrow" w:eastAsia="楷体_GB2312" w:cs="Arial Narrow"/>
                <w:b w:val="0"/>
                <w:bCs w:val="0"/>
                <w:sz w:val="21"/>
                <w:szCs w:val="21"/>
                <w:lang w:val="en-US" w:eastAsia="zh-CN"/>
              </w:rPr>
            </w:pPr>
          </w:p>
        </w:tc>
        <w:tc>
          <w:tcPr>
            <w:tcW w:w="1018" w:type="dxa"/>
            <w:vAlign w:val="center"/>
          </w:tcPr>
          <w:p w14:paraId="4ED11FFA">
            <w:pPr>
              <w:widowControl w:val="0"/>
              <w:jc w:val="center"/>
              <w:textAlignment w:val="center"/>
              <w:rPr>
                <w:rFonts w:hint="default" w:ascii="Arial Narrow" w:hAnsi="Arial Narrow" w:eastAsia="楷体_GB2312" w:cs="Arial Narrow"/>
                <w:b w:val="0"/>
                <w:bCs w:val="0"/>
                <w:sz w:val="21"/>
                <w:szCs w:val="21"/>
                <w:lang w:val="en-US" w:eastAsia="zh-CN"/>
              </w:rPr>
            </w:pPr>
          </w:p>
        </w:tc>
        <w:tc>
          <w:tcPr>
            <w:tcW w:w="1157" w:type="dxa"/>
            <w:vAlign w:val="center"/>
          </w:tcPr>
          <w:p w14:paraId="7B2105C8">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4.37 </w:t>
            </w:r>
          </w:p>
        </w:tc>
      </w:tr>
      <w:tr w14:paraId="6C102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0CBE6EA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4.7</w:t>
            </w:r>
          </w:p>
        </w:tc>
        <w:tc>
          <w:tcPr>
            <w:tcW w:w="1863" w:type="pct"/>
            <w:vAlign w:val="center"/>
          </w:tcPr>
          <w:p w14:paraId="49CC348E">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 w:cs="Arial Narrow"/>
                <w:b w:val="0"/>
                <w:bCs w:val="0"/>
                <w:i w:val="0"/>
                <w:iCs w:val="0"/>
                <w:color w:val="000000"/>
                <w:kern w:val="0"/>
                <w:sz w:val="21"/>
                <w:szCs w:val="21"/>
                <w:u w:val="none"/>
                <w:lang w:val="en-US" w:eastAsia="zh-CN" w:bidi="ar"/>
              </w:rPr>
              <w:t>工程保险费</w:t>
            </w:r>
          </w:p>
        </w:tc>
        <w:tc>
          <w:tcPr>
            <w:tcW w:w="1149" w:type="dxa"/>
            <w:vAlign w:val="center"/>
          </w:tcPr>
          <w:p w14:paraId="70899546">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1.09 </w:t>
            </w:r>
          </w:p>
        </w:tc>
        <w:tc>
          <w:tcPr>
            <w:tcW w:w="1018" w:type="dxa"/>
            <w:vAlign w:val="center"/>
          </w:tcPr>
          <w:p w14:paraId="631D25B4">
            <w:pPr>
              <w:widowControl w:val="0"/>
              <w:jc w:val="center"/>
              <w:textAlignment w:val="center"/>
              <w:rPr>
                <w:rFonts w:hint="default" w:ascii="Arial Narrow" w:hAnsi="Arial Narrow" w:eastAsia="楷体_GB2312" w:cs="Arial Narrow"/>
                <w:b w:val="0"/>
                <w:bCs w:val="0"/>
                <w:sz w:val="21"/>
                <w:szCs w:val="21"/>
                <w:lang w:val="en-US" w:eastAsia="zh-CN"/>
              </w:rPr>
            </w:pPr>
          </w:p>
        </w:tc>
        <w:tc>
          <w:tcPr>
            <w:tcW w:w="1018" w:type="dxa"/>
            <w:vAlign w:val="center"/>
          </w:tcPr>
          <w:p w14:paraId="7B6FD36C">
            <w:pPr>
              <w:widowControl w:val="0"/>
              <w:jc w:val="center"/>
              <w:textAlignment w:val="center"/>
              <w:rPr>
                <w:rFonts w:hint="default" w:ascii="Arial Narrow" w:hAnsi="Arial Narrow" w:eastAsia="楷体_GB2312" w:cs="Arial Narrow"/>
                <w:b w:val="0"/>
                <w:bCs w:val="0"/>
                <w:sz w:val="21"/>
                <w:szCs w:val="21"/>
                <w:lang w:val="en-US" w:eastAsia="zh-CN"/>
              </w:rPr>
            </w:pPr>
          </w:p>
        </w:tc>
        <w:tc>
          <w:tcPr>
            <w:tcW w:w="1157" w:type="dxa"/>
            <w:vAlign w:val="center"/>
          </w:tcPr>
          <w:p w14:paraId="21FE01D5">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default" w:ascii="Arial Narrow" w:hAnsi="Arial Narrow" w:eastAsia="楷体_GB2312" w:cs="Arial Narrow"/>
                <w:i w:val="0"/>
                <w:iCs w:val="0"/>
                <w:kern w:val="0"/>
                <w:sz w:val="21"/>
                <w:szCs w:val="21"/>
                <w:u w:val="none"/>
                <w:lang w:val="en-US" w:eastAsia="zh-CN" w:bidi="ar"/>
              </w:rPr>
              <w:t xml:space="preserve">1.09 </w:t>
            </w:r>
          </w:p>
        </w:tc>
      </w:tr>
      <w:tr w14:paraId="761B8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588" w:type="pct"/>
            <w:vAlign w:val="center"/>
          </w:tcPr>
          <w:p w14:paraId="6C7D304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eastAsia" w:ascii="Arial Narrow" w:hAnsi="Arial Narrow" w:eastAsia="楷体_GB2312" w:cs="Arial Narrow"/>
                <w:b/>
                <w:bCs/>
                <w:sz w:val="21"/>
                <w:szCs w:val="21"/>
                <w:lang w:val="en-US" w:eastAsia="zh-CN"/>
              </w:rPr>
              <w:t>5</w:t>
            </w:r>
          </w:p>
        </w:tc>
        <w:tc>
          <w:tcPr>
            <w:tcW w:w="1863" w:type="pct"/>
            <w:vAlign w:val="center"/>
          </w:tcPr>
          <w:p w14:paraId="749AD24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预备费</w:t>
            </w:r>
          </w:p>
        </w:tc>
        <w:tc>
          <w:tcPr>
            <w:tcW w:w="1149" w:type="dxa"/>
            <w:vAlign w:val="center"/>
          </w:tcPr>
          <w:p w14:paraId="317040E1">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i w:val="0"/>
                <w:iCs w:val="0"/>
                <w:kern w:val="0"/>
                <w:sz w:val="21"/>
                <w:szCs w:val="21"/>
                <w:u w:val="none"/>
                <w:lang w:val="en-US" w:eastAsia="zh-CN" w:bidi="ar"/>
              </w:rPr>
              <w:t xml:space="preserve">6.62 </w:t>
            </w:r>
          </w:p>
        </w:tc>
        <w:tc>
          <w:tcPr>
            <w:tcW w:w="1018" w:type="dxa"/>
            <w:vAlign w:val="center"/>
          </w:tcPr>
          <w:p w14:paraId="2120DB7F">
            <w:pPr>
              <w:widowControl w:val="0"/>
              <w:jc w:val="center"/>
              <w:textAlignment w:val="center"/>
              <w:rPr>
                <w:rFonts w:hint="default" w:ascii="Arial Narrow" w:hAnsi="Arial Narrow" w:eastAsia="楷体_GB2312" w:cs="Arial Narrow"/>
                <w:b/>
                <w:bCs/>
                <w:sz w:val="21"/>
                <w:szCs w:val="21"/>
                <w:lang w:val="en-US" w:eastAsia="zh-CN"/>
              </w:rPr>
            </w:pPr>
          </w:p>
        </w:tc>
        <w:tc>
          <w:tcPr>
            <w:tcW w:w="1018" w:type="dxa"/>
            <w:vAlign w:val="center"/>
          </w:tcPr>
          <w:p w14:paraId="1DA6BD25">
            <w:pPr>
              <w:widowControl w:val="0"/>
              <w:jc w:val="center"/>
              <w:textAlignment w:val="center"/>
              <w:rPr>
                <w:rFonts w:hint="default" w:ascii="Arial Narrow" w:hAnsi="Arial Narrow" w:eastAsia="楷体_GB2312" w:cs="Arial Narrow"/>
                <w:b/>
                <w:bCs/>
                <w:sz w:val="21"/>
                <w:szCs w:val="21"/>
                <w:lang w:val="en-US" w:eastAsia="zh-CN"/>
              </w:rPr>
            </w:pPr>
          </w:p>
        </w:tc>
        <w:tc>
          <w:tcPr>
            <w:tcW w:w="1157" w:type="dxa"/>
            <w:vAlign w:val="center"/>
          </w:tcPr>
          <w:p w14:paraId="7BC7AB50">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i w:val="0"/>
                <w:iCs w:val="0"/>
                <w:kern w:val="0"/>
                <w:sz w:val="21"/>
                <w:szCs w:val="21"/>
                <w:u w:val="none"/>
                <w:lang w:val="en-US" w:eastAsia="zh-CN" w:bidi="ar"/>
              </w:rPr>
              <w:t xml:space="preserve">6.62 </w:t>
            </w:r>
          </w:p>
        </w:tc>
      </w:tr>
    </w:tbl>
    <w:p w14:paraId="02B67ED5">
      <w:pPr>
        <w:pageBreakBefore w:val="0"/>
        <w:widowControl w:val="0"/>
        <w:kinsoku/>
        <w:wordWrap/>
        <w:overflowPunct/>
        <w:topLinePunct w:val="0"/>
        <w:bidi w:val="0"/>
        <w:snapToGrid/>
        <w:spacing w:after="0" w:line="360" w:lineRule="auto"/>
        <w:ind w:firstLine="562" w:firstLineChars="200"/>
        <w:jc w:val="both"/>
        <w:rPr>
          <w:rFonts w:hint="default" w:ascii="Times New Roman" w:hAnsi="Times New Roman" w:eastAsia="仿宋_GB2312" w:cs="Times New Roman"/>
          <w:b/>
          <w:bCs w:val="0"/>
          <w:kern w:val="0"/>
          <w:sz w:val="28"/>
          <w:szCs w:val="28"/>
          <w:lang w:val="en-US" w:eastAsia="zh-CN"/>
        </w:rPr>
      </w:pPr>
      <w:bookmarkStart w:id="614" w:name="_Toc5155"/>
      <w:r>
        <w:rPr>
          <w:rFonts w:hint="eastAsia" w:ascii="Times New Roman" w:hAnsi="Times New Roman" w:eastAsia="仿宋_GB2312" w:cs="Times New Roman"/>
          <w:b/>
          <w:bCs w:val="0"/>
          <w:kern w:val="0"/>
          <w:sz w:val="28"/>
          <w:szCs w:val="28"/>
          <w:lang w:val="en-US" w:eastAsia="zh-CN"/>
        </w:rPr>
        <w:t>11.1.3.1营造林工程费概算</w:t>
      </w:r>
      <w:bookmarkEnd w:id="614"/>
    </w:p>
    <w:p w14:paraId="6AEF0339">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（1）工程量测算</w:t>
      </w:r>
    </w:p>
    <w:p w14:paraId="7F2D8A1C">
      <w:pPr>
        <w:pageBreakBefore w:val="0"/>
        <w:widowControl w:val="0"/>
        <w:kinsoku/>
        <w:wordWrap/>
        <w:overflowPunct/>
        <w:topLinePunct w:val="0"/>
        <w:bidi w:val="0"/>
        <w:snapToGrid/>
        <w:spacing w:after="0" w:line="360" w:lineRule="auto"/>
        <w:ind w:firstLine="562" w:firstLineChars="200"/>
        <w:jc w:val="both"/>
        <w:outlineLvl w:val="1"/>
        <w:rPr>
          <w:rFonts w:hint="default" w:ascii="Times New Roman" w:hAnsi="Times New Roman" w:eastAsia="仿宋_GB2312" w:cs="Times New Roman"/>
          <w:b/>
          <w:bCs w:val="0"/>
          <w:kern w:val="0"/>
          <w:sz w:val="28"/>
          <w:szCs w:val="28"/>
          <w:lang w:val="en-US" w:eastAsia="zh-CN"/>
        </w:rPr>
      </w:pPr>
      <w:bookmarkStart w:id="615" w:name="_Toc16110"/>
      <w:bookmarkStart w:id="616" w:name="_Toc20247"/>
      <w:bookmarkStart w:id="617" w:name="_Toc13430"/>
      <w:bookmarkStart w:id="618" w:name="_Toc28719"/>
      <w:bookmarkStart w:id="619" w:name="_Toc13002"/>
      <w:bookmarkStart w:id="620" w:name="_Toc855"/>
      <w:bookmarkStart w:id="621" w:name="_Toc18278"/>
      <w:r>
        <w:rPr>
          <w:rFonts w:hint="eastAsia" w:ascii="Times New Roman" w:hAnsi="Times New Roman" w:eastAsia="仿宋_GB2312" w:cs="Times New Roman"/>
          <w:b/>
          <w:bCs w:val="0"/>
          <w:kern w:val="0"/>
          <w:sz w:val="28"/>
          <w:szCs w:val="28"/>
          <w:lang w:val="en-US" w:eastAsia="zh-CN"/>
        </w:rPr>
        <w:t>1）材料工程量</w:t>
      </w:r>
      <w:bookmarkEnd w:id="615"/>
      <w:bookmarkEnd w:id="616"/>
      <w:bookmarkEnd w:id="617"/>
      <w:bookmarkEnd w:id="618"/>
      <w:bookmarkEnd w:id="619"/>
      <w:bookmarkEnd w:id="620"/>
      <w:bookmarkEnd w:id="621"/>
    </w:p>
    <w:p w14:paraId="4DE20636">
      <w:pPr>
        <w:pageBreakBefore w:val="0"/>
        <w:widowControl w:val="0"/>
        <w:kinsoku/>
        <w:wordWrap/>
        <w:overflowPunct/>
        <w:topLinePunct w:val="0"/>
        <w:bidi w:val="0"/>
        <w:snapToGrid/>
        <w:spacing w:after="0" w:line="360" w:lineRule="auto"/>
        <w:ind w:firstLine="562" w:firstLineChars="200"/>
        <w:jc w:val="both"/>
        <w:outlineLvl w:val="0"/>
        <w:rPr>
          <w:rFonts w:hint="default" w:ascii="Times New Roman" w:hAnsi="Times New Roman" w:eastAsia="仿宋_GB2312" w:cs="Times New Roman"/>
          <w:b/>
          <w:bCs w:val="0"/>
          <w:kern w:val="0"/>
          <w:sz w:val="28"/>
          <w:szCs w:val="28"/>
          <w:lang w:val="en-US" w:eastAsia="zh-CN"/>
        </w:rPr>
      </w:pPr>
      <w:bookmarkStart w:id="622" w:name="_Toc28228"/>
      <w:bookmarkStart w:id="623" w:name="_Toc2629"/>
      <w:bookmarkStart w:id="624" w:name="_Toc8343"/>
      <w:bookmarkStart w:id="625" w:name="_Toc6545"/>
      <w:bookmarkStart w:id="626" w:name="_Toc5227"/>
      <w:bookmarkStart w:id="627" w:name="_Toc5633"/>
      <w:bookmarkStart w:id="628" w:name="_Toc19513"/>
      <w:r>
        <w:rPr>
          <w:rFonts w:hint="eastAsia" w:ascii="Times New Roman" w:hAnsi="Times New Roman" w:eastAsia="仿宋_GB2312" w:cs="Times New Roman"/>
          <w:b/>
          <w:bCs w:val="0"/>
          <w:kern w:val="0"/>
          <w:sz w:val="28"/>
          <w:szCs w:val="28"/>
          <w:lang w:val="en-US" w:eastAsia="zh-CN"/>
        </w:rPr>
        <w:t>①种苗数量</w:t>
      </w:r>
      <w:bookmarkEnd w:id="622"/>
      <w:bookmarkEnd w:id="623"/>
      <w:bookmarkEnd w:id="624"/>
      <w:bookmarkEnd w:id="625"/>
      <w:bookmarkEnd w:id="626"/>
      <w:bookmarkEnd w:id="627"/>
      <w:bookmarkEnd w:id="628"/>
    </w:p>
    <w:p w14:paraId="59A4533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629" w:name="_Toc23090"/>
      <w:bookmarkStart w:id="630" w:name="_Toc1826"/>
      <w:bookmarkStart w:id="631" w:name="_Toc11548"/>
      <w:bookmarkStart w:id="632" w:name="_Toc31991"/>
      <w:bookmarkStart w:id="633" w:name="_Toc22283"/>
      <w:r>
        <w:rPr>
          <w:rFonts w:hint="eastAsia" w:ascii="Times New Roman" w:hAnsi="Times New Roman" w:eastAsia="仿宋_GB2312" w:cs="Times New Roman"/>
          <w:bCs/>
          <w:kern w:val="0"/>
          <w:sz w:val="28"/>
          <w:szCs w:val="28"/>
          <w:lang w:val="en-US" w:eastAsia="zh-CN"/>
        </w:rPr>
        <w:t>本项目共需苗木47733株（含10%损耗），其中长林53号23869株，长林40号11934株，长林4号11930万株。各乡镇、村需苗量详见下表。</w:t>
      </w:r>
      <w:bookmarkEnd w:id="629"/>
      <w:bookmarkEnd w:id="630"/>
      <w:bookmarkEnd w:id="631"/>
      <w:bookmarkEnd w:id="632"/>
      <w:bookmarkEnd w:id="633"/>
    </w:p>
    <w:p w14:paraId="4D98AB23">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楷体" w:hAnsi="楷体" w:eastAsia="楷体" w:cs="楷体"/>
          <w:b/>
          <w:bCs w:val="0"/>
          <w:kern w:val="0"/>
          <w:sz w:val="24"/>
          <w:szCs w:val="24"/>
          <w:lang w:val="en-US" w:eastAsia="zh-CN"/>
        </w:rPr>
      </w:pPr>
      <w:r>
        <w:rPr>
          <w:rFonts w:hint="eastAsia" w:ascii="楷体" w:hAnsi="楷体" w:eastAsia="楷体" w:cs="楷体"/>
          <w:b/>
          <w:bCs w:val="0"/>
          <w:kern w:val="0"/>
          <w:sz w:val="24"/>
          <w:szCs w:val="24"/>
          <w:lang w:val="en-US" w:eastAsia="zh-CN"/>
        </w:rPr>
        <w:t>表11-2 各乡镇</w:t>
      </w:r>
      <w:r>
        <w:rPr>
          <w:rFonts w:hint="default" w:ascii="楷体" w:hAnsi="楷体" w:eastAsia="楷体" w:cs="楷体"/>
          <w:b/>
          <w:bCs w:val="0"/>
          <w:kern w:val="0"/>
          <w:sz w:val="24"/>
          <w:szCs w:val="24"/>
          <w:lang w:val="en-US" w:eastAsia="zh-CN"/>
        </w:rPr>
        <w:t>苗木需</w:t>
      </w:r>
      <w:r>
        <w:rPr>
          <w:rFonts w:hint="eastAsia" w:ascii="楷体" w:hAnsi="楷体" w:eastAsia="楷体" w:cs="楷体"/>
          <w:b/>
          <w:bCs w:val="0"/>
          <w:kern w:val="0"/>
          <w:sz w:val="24"/>
          <w:szCs w:val="24"/>
          <w:lang w:val="en-US" w:eastAsia="zh-CN"/>
        </w:rPr>
        <w:t>要</w:t>
      </w:r>
      <w:r>
        <w:rPr>
          <w:rFonts w:hint="default" w:ascii="楷体" w:hAnsi="楷体" w:eastAsia="楷体" w:cs="楷体"/>
          <w:b/>
          <w:bCs w:val="0"/>
          <w:kern w:val="0"/>
          <w:sz w:val="24"/>
          <w:szCs w:val="24"/>
          <w:lang w:val="en-US" w:eastAsia="zh-CN"/>
        </w:rPr>
        <w:t>量</w:t>
      </w:r>
      <w:r>
        <w:rPr>
          <w:rFonts w:hint="eastAsia" w:ascii="楷体" w:hAnsi="楷体" w:eastAsia="楷体" w:cs="楷体"/>
          <w:b/>
          <w:bCs w:val="0"/>
          <w:kern w:val="0"/>
          <w:sz w:val="24"/>
          <w:szCs w:val="24"/>
          <w:lang w:val="en-US" w:eastAsia="zh-CN"/>
        </w:rPr>
        <w:t>汇总表</w:t>
      </w:r>
    </w:p>
    <w:p w14:paraId="762E081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right"/>
        <w:rPr>
          <w:rFonts w:ascii="楷体_GB2312" w:hAnsi="宋体" w:eastAsia="楷体_GB2312"/>
          <w:szCs w:val="21"/>
        </w:rPr>
      </w:pPr>
      <w:r>
        <w:rPr>
          <w:rFonts w:hint="eastAsia" w:ascii="楷体_GB2312" w:hAnsi="宋体" w:eastAsia="楷体_GB2312"/>
          <w:szCs w:val="21"/>
        </w:rPr>
        <w:t>单位：株</w:t>
      </w:r>
    </w:p>
    <w:tbl>
      <w:tblPr>
        <w:tblStyle w:val="2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2"/>
        <w:gridCol w:w="1331"/>
        <w:gridCol w:w="1066"/>
        <w:gridCol w:w="1441"/>
        <w:gridCol w:w="1441"/>
        <w:gridCol w:w="1320"/>
        <w:gridCol w:w="998"/>
      </w:tblGrid>
      <w:tr w14:paraId="1E446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blHeader/>
        </w:trPr>
        <w:tc>
          <w:tcPr>
            <w:tcW w:w="541" w:type="pct"/>
            <w:shd w:val="clear" w:color="auto" w:fill="auto"/>
            <w:noWrap/>
            <w:vAlign w:val="center"/>
          </w:tcPr>
          <w:p w14:paraId="6BB29C6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eastAsia" w:ascii="Arial Narrow" w:hAnsi="Arial Narrow" w:eastAsia="楷体_GB2312" w:cs="Arial Narrow"/>
                <w:b/>
                <w:bCs/>
                <w:sz w:val="21"/>
                <w:szCs w:val="21"/>
                <w:lang w:val="en-US" w:eastAsia="zh-CN"/>
              </w:rPr>
              <w:t>序号</w:t>
            </w:r>
          </w:p>
        </w:tc>
        <w:tc>
          <w:tcPr>
            <w:tcW w:w="781" w:type="pct"/>
            <w:shd w:val="clear" w:color="auto" w:fill="auto"/>
            <w:noWrap/>
            <w:vAlign w:val="center"/>
          </w:tcPr>
          <w:p w14:paraId="584AFA0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eastAsia" w:ascii="Arial Narrow" w:hAnsi="Arial Narrow" w:eastAsia="楷体_GB2312" w:cs="Arial Narrow"/>
                <w:b/>
                <w:bCs/>
                <w:sz w:val="21"/>
                <w:szCs w:val="21"/>
                <w:lang w:val="en-US" w:eastAsia="zh-CN"/>
              </w:rPr>
              <w:t>乡镇</w:t>
            </w:r>
          </w:p>
        </w:tc>
        <w:tc>
          <w:tcPr>
            <w:tcW w:w="625" w:type="pct"/>
            <w:shd w:val="clear" w:color="auto" w:fill="auto"/>
            <w:noWrap/>
            <w:vAlign w:val="center"/>
          </w:tcPr>
          <w:p w14:paraId="752E059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eastAsia" w:ascii="Arial Narrow" w:hAnsi="Arial Narrow" w:eastAsia="楷体_GB2312" w:cs="Arial Narrow"/>
                <w:b/>
                <w:bCs/>
                <w:sz w:val="21"/>
                <w:szCs w:val="21"/>
                <w:lang w:val="en-US" w:eastAsia="zh-CN"/>
              </w:rPr>
              <w:t>村</w:t>
            </w:r>
          </w:p>
        </w:tc>
        <w:tc>
          <w:tcPr>
            <w:tcW w:w="845" w:type="pct"/>
            <w:shd w:val="clear" w:color="auto" w:fill="auto"/>
            <w:noWrap/>
            <w:vAlign w:val="center"/>
          </w:tcPr>
          <w:p w14:paraId="047D150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eastAsia" w:ascii="Arial Narrow" w:hAnsi="Arial Narrow" w:eastAsia="楷体_GB2312" w:cs="Arial Narrow"/>
                <w:b/>
                <w:bCs/>
                <w:sz w:val="21"/>
                <w:szCs w:val="21"/>
                <w:lang w:val="en-US" w:eastAsia="zh-CN"/>
              </w:rPr>
              <w:t>长林53号</w:t>
            </w:r>
          </w:p>
        </w:tc>
        <w:tc>
          <w:tcPr>
            <w:tcW w:w="845" w:type="pct"/>
            <w:shd w:val="clear" w:color="auto" w:fill="auto"/>
            <w:noWrap/>
            <w:vAlign w:val="center"/>
          </w:tcPr>
          <w:p w14:paraId="303ED9A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eastAsia" w:ascii="Arial Narrow" w:hAnsi="Arial Narrow" w:eastAsia="楷体_GB2312" w:cs="Arial Narrow"/>
                <w:b/>
                <w:bCs/>
                <w:sz w:val="21"/>
                <w:szCs w:val="21"/>
                <w:lang w:val="en-US" w:eastAsia="zh-CN"/>
              </w:rPr>
              <w:t>长林40号</w:t>
            </w:r>
          </w:p>
        </w:tc>
        <w:tc>
          <w:tcPr>
            <w:tcW w:w="774" w:type="pct"/>
            <w:shd w:val="clear" w:color="auto" w:fill="auto"/>
            <w:noWrap/>
            <w:vAlign w:val="center"/>
          </w:tcPr>
          <w:p w14:paraId="3576EEB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eastAsia" w:ascii="Arial Narrow" w:hAnsi="Arial Narrow" w:eastAsia="楷体_GB2312" w:cs="Arial Narrow"/>
                <w:b/>
                <w:bCs/>
                <w:sz w:val="21"/>
                <w:szCs w:val="21"/>
                <w:lang w:val="en-US" w:eastAsia="zh-CN"/>
              </w:rPr>
              <w:t>长林4号</w:t>
            </w:r>
          </w:p>
        </w:tc>
        <w:tc>
          <w:tcPr>
            <w:tcW w:w="585" w:type="pct"/>
            <w:shd w:val="clear" w:color="auto" w:fill="auto"/>
            <w:noWrap/>
            <w:vAlign w:val="center"/>
          </w:tcPr>
          <w:p w14:paraId="64F95F7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eastAsia" w:ascii="Arial Narrow" w:hAnsi="Arial Narrow" w:eastAsia="楷体_GB2312" w:cs="Arial Narrow"/>
                <w:b/>
                <w:bCs/>
                <w:sz w:val="21"/>
                <w:szCs w:val="21"/>
                <w:lang w:val="en-US" w:eastAsia="zh-CN"/>
              </w:rPr>
              <w:t>总计</w:t>
            </w:r>
          </w:p>
        </w:tc>
      </w:tr>
      <w:tr w14:paraId="72283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541" w:type="pct"/>
            <w:shd w:val="clear" w:color="auto" w:fill="auto"/>
            <w:noWrap/>
            <w:vAlign w:val="center"/>
          </w:tcPr>
          <w:p w14:paraId="16F845E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1</w:t>
            </w:r>
          </w:p>
        </w:tc>
        <w:tc>
          <w:tcPr>
            <w:tcW w:w="781" w:type="pct"/>
            <w:shd w:val="clear" w:color="auto" w:fill="auto"/>
            <w:noWrap/>
            <w:vAlign w:val="center"/>
          </w:tcPr>
          <w:p w14:paraId="77A73D9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bidi="ar"/>
              </w:rPr>
            </w:pPr>
            <w:r>
              <w:rPr>
                <w:rFonts w:hint="default" w:ascii="Arial Narrow" w:hAnsi="Arial Narrow" w:eastAsia="楷体_GB2312" w:cs="Arial Narrow"/>
                <w:b w:val="0"/>
                <w:bCs w:val="0"/>
                <w:sz w:val="21"/>
                <w:szCs w:val="21"/>
                <w:lang w:val="en-US" w:eastAsia="zh-CN" w:bidi="ar"/>
              </w:rPr>
              <w:t>白石镇</w:t>
            </w:r>
          </w:p>
        </w:tc>
        <w:tc>
          <w:tcPr>
            <w:tcW w:w="625" w:type="pct"/>
            <w:shd w:val="clear" w:color="auto" w:fill="auto"/>
            <w:noWrap/>
            <w:vAlign w:val="center"/>
          </w:tcPr>
          <w:p w14:paraId="3AF9DA0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bidi="ar"/>
              </w:rPr>
            </w:pPr>
          </w:p>
        </w:tc>
        <w:tc>
          <w:tcPr>
            <w:tcW w:w="845" w:type="pct"/>
            <w:shd w:val="clear" w:color="auto" w:fill="auto"/>
            <w:noWrap/>
            <w:vAlign w:val="center"/>
          </w:tcPr>
          <w:p w14:paraId="26455F1E">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bidi="ar"/>
              </w:rPr>
            </w:pPr>
            <w:r>
              <w:rPr>
                <w:rFonts w:hint="default" w:ascii="Arial Narrow" w:hAnsi="Arial Narrow" w:eastAsia="楷体_GB2312" w:cs="Arial Narrow"/>
                <w:b w:val="0"/>
                <w:bCs w:val="0"/>
                <w:i w:val="0"/>
                <w:iCs w:val="0"/>
                <w:kern w:val="0"/>
                <w:sz w:val="21"/>
                <w:szCs w:val="21"/>
                <w:u w:val="none"/>
                <w:lang w:val="en-US" w:eastAsia="zh-CN" w:bidi="ar"/>
              </w:rPr>
              <w:t>23869</w:t>
            </w:r>
          </w:p>
        </w:tc>
        <w:tc>
          <w:tcPr>
            <w:tcW w:w="845" w:type="pct"/>
            <w:shd w:val="clear" w:color="auto" w:fill="auto"/>
            <w:noWrap/>
            <w:vAlign w:val="center"/>
          </w:tcPr>
          <w:p w14:paraId="5AD1B0B6">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bidi="ar"/>
              </w:rPr>
            </w:pPr>
            <w:r>
              <w:rPr>
                <w:rFonts w:hint="default" w:ascii="Arial Narrow" w:hAnsi="Arial Narrow" w:eastAsia="楷体_GB2312" w:cs="Arial Narrow"/>
                <w:b w:val="0"/>
                <w:bCs w:val="0"/>
                <w:i w:val="0"/>
                <w:iCs w:val="0"/>
                <w:kern w:val="0"/>
                <w:sz w:val="21"/>
                <w:szCs w:val="21"/>
                <w:u w:val="none"/>
                <w:lang w:val="en-US" w:eastAsia="zh-CN" w:bidi="ar"/>
              </w:rPr>
              <w:t>11934</w:t>
            </w:r>
          </w:p>
        </w:tc>
        <w:tc>
          <w:tcPr>
            <w:tcW w:w="774" w:type="pct"/>
            <w:shd w:val="clear" w:color="auto" w:fill="auto"/>
            <w:noWrap/>
            <w:vAlign w:val="center"/>
          </w:tcPr>
          <w:p w14:paraId="015B5A75">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bidi="ar"/>
              </w:rPr>
            </w:pPr>
            <w:r>
              <w:rPr>
                <w:rFonts w:hint="default" w:ascii="Arial Narrow" w:hAnsi="Arial Narrow" w:eastAsia="楷体_GB2312" w:cs="Arial Narrow"/>
                <w:b w:val="0"/>
                <w:bCs w:val="0"/>
                <w:i w:val="0"/>
                <w:iCs w:val="0"/>
                <w:kern w:val="0"/>
                <w:sz w:val="21"/>
                <w:szCs w:val="21"/>
                <w:u w:val="none"/>
                <w:lang w:val="en-US" w:eastAsia="zh-CN" w:bidi="ar"/>
              </w:rPr>
              <w:t>11930</w:t>
            </w:r>
          </w:p>
        </w:tc>
        <w:tc>
          <w:tcPr>
            <w:tcW w:w="585" w:type="pct"/>
            <w:shd w:val="clear" w:color="auto" w:fill="auto"/>
            <w:noWrap/>
            <w:vAlign w:val="center"/>
          </w:tcPr>
          <w:p w14:paraId="7E442A7F">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bidi="ar"/>
              </w:rPr>
            </w:pPr>
            <w:r>
              <w:rPr>
                <w:rFonts w:hint="default" w:ascii="Arial Narrow" w:hAnsi="Arial Narrow" w:eastAsia="楷体_GB2312" w:cs="Arial Narrow"/>
                <w:b w:val="0"/>
                <w:bCs w:val="0"/>
                <w:i w:val="0"/>
                <w:iCs w:val="0"/>
                <w:kern w:val="0"/>
                <w:sz w:val="21"/>
                <w:szCs w:val="21"/>
                <w:u w:val="none"/>
                <w:lang w:val="en-US" w:eastAsia="zh-CN" w:bidi="ar"/>
              </w:rPr>
              <w:t>47733</w:t>
            </w:r>
          </w:p>
        </w:tc>
      </w:tr>
      <w:tr w14:paraId="3A0A9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541" w:type="pct"/>
            <w:shd w:val="clear" w:color="auto" w:fill="auto"/>
            <w:noWrap/>
            <w:vAlign w:val="center"/>
          </w:tcPr>
          <w:p w14:paraId="40877BF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r>
              <w:rPr>
                <w:rFonts w:hint="eastAsia" w:ascii="Arial Narrow" w:hAnsi="Arial Narrow" w:eastAsia="楷体_GB2312" w:cs="Arial Narrow"/>
                <w:b w:val="0"/>
                <w:bCs w:val="0"/>
                <w:sz w:val="21"/>
                <w:szCs w:val="21"/>
                <w:lang w:val="en-US" w:eastAsia="zh-CN"/>
              </w:rPr>
              <w:t>（1）</w:t>
            </w:r>
          </w:p>
        </w:tc>
        <w:tc>
          <w:tcPr>
            <w:tcW w:w="781" w:type="pct"/>
            <w:shd w:val="clear" w:color="auto" w:fill="auto"/>
            <w:noWrap/>
            <w:vAlign w:val="center"/>
          </w:tcPr>
          <w:p w14:paraId="681412E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bidi="ar"/>
              </w:rPr>
            </w:pPr>
          </w:p>
        </w:tc>
        <w:tc>
          <w:tcPr>
            <w:tcW w:w="625" w:type="pct"/>
            <w:shd w:val="clear" w:color="auto" w:fill="auto"/>
            <w:noWrap/>
            <w:vAlign w:val="center"/>
          </w:tcPr>
          <w:p w14:paraId="1DA26837">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bidi="ar"/>
              </w:rPr>
            </w:pPr>
            <w:r>
              <w:rPr>
                <w:rFonts w:hint="default" w:ascii="Arial Narrow" w:hAnsi="Arial Narrow" w:eastAsia="楷体_GB2312" w:cs="Arial Narrow"/>
                <w:i w:val="0"/>
                <w:iCs w:val="0"/>
                <w:kern w:val="0"/>
                <w:sz w:val="21"/>
                <w:szCs w:val="21"/>
                <w:u w:val="none"/>
                <w:lang w:val="en-US" w:eastAsia="zh-CN" w:bidi="ar"/>
              </w:rPr>
              <w:t>十八里村</w:t>
            </w:r>
          </w:p>
        </w:tc>
        <w:tc>
          <w:tcPr>
            <w:tcW w:w="845" w:type="pct"/>
            <w:shd w:val="clear" w:color="auto" w:fill="auto"/>
            <w:noWrap/>
            <w:vAlign w:val="center"/>
          </w:tcPr>
          <w:p w14:paraId="13D2A55A">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bidi="ar"/>
              </w:rPr>
            </w:pPr>
            <w:r>
              <w:rPr>
                <w:rFonts w:hint="default" w:ascii="Arial Narrow" w:hAnsi="Arial Narrow" w:eastAsia="楷体_GB2312" w:cs="Arial Narrow"/>
                <w:i w:val="0"/>
                <w:iCs w:val="0"/>
                <w:kern w:val="0"/>
                <w:sz w:val="21"/>
                <w:szCs w:val="21"/>
                <w:u w:val="none"/>
                <w:lang w:val="en-US" w:eastAsia="zh-CN" w:bidi="ar"/>
              </w:rPr>
              <w:t>3645</w:t>
            </w:r>
          </w:p>
        </w:tc>
        <w:tc>
          <w:tcPr>
            <w:tcW w:w="845" w:type="pct"/>
            <w:shd w:val="clear" w:color="auto" w:fill="auto"/>
            <w:noWrap/>
            <w:vAlign w:val="center"/>
          </w:tcPr>
          <w:p w14:paraId="7BE64FED">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bidi="ar"/>
              </w:rPr>
            </w:pPr>
            <w:r>
              <w:rPr>
                <w:rFonts w:hint="default" w:ascii="Arial Narrow" w:hAnsi="Arial Narrow" w:eastAsia="楷体_GB2312" w:cs="Arial Narrow"/>
                <w:i w:val="0"/>
                <w:iCs w:val="0"/>
                <w:kern w:val="0"/>
                <w:sz w:val="21"/>
                <w:szCs w:val="21"/>
                <w:u w:val="none"/>
                <w:lang w:val="en-US" w:eastAsia="zh-CN" w:bidi="ar"/>
              </w:rPr>
              <w:t>1822</w:t>
            </w:r>
          </w:p>
        </w:tc>
        <w:tc>
          <w:tcPr>
            <w:tcW w:w="774" w:type="pct"/>
            <w:shd w:val="clear" w:color="auto" w:fill="auto"/>
            <w:noWrap/>
            <w:vAlign w:val="center"/>
          </w:tcPr>
          <w:p w14:paraId="288E9C63">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bidi="ar"/>
              </w:rPr>
            </w:pPr>
            <w:r>
              <w:rPr>
                <w:rFonts w:hint="default" w:ascii="Arial Narrow" w:hAnsi="Arial Narrow" w:eastAsia="楷体_GB2312" w:cs="Arial Narrow"/>
                <w:i w:val="0"/>
                <w:iCs w:val="0"/>
                <w:kern w:val="0"/>
                <w:sz w:val="21"/>
                <w:szCs w:val="21"/>
                <w:u w:val="none"/>
                <w:lang w:val="en-US" w:eastAsia="zh-CN" w:bidi="ar"/>
              </w:rPr>
              <w:t>1820</w:t>
            </w:r>
          </w:p>
        </w:tc>
        <w:tc>
          <w:tcPr>
            <w:tcW w:w="585" w:type="pct"/>
            <w:shd w:val="clear" w:color="auto" w:fill="auto"/>
            <w:noWrap/>
            <w:vAlign w:val="center"/>
          </w:tcPr>
          <w:p w14:paraId="38969BD2">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bidi="ar"/>
              </w:rPr>
            </w:pPr>
            <w:r>
              <w:rPr>
                <w:rFonts w:hint="default" w:ascii="Arial Narrow" w:hAnsi="Arial Narrow" w:eastAsia="楷体_GB2312" w:cs="Arial Narrow"/>
                <w:b w:val="0"/>
                <w:bCs w:val="0"/>
                <w:i w:val="0"/>
                <w:iCs w:val="0"/>
                <w:kern w:val="0"/>
                <w:sz w:val="21"/>
                <w:szCs w:val="21"/>
                <w:u w:val="none"/>
                <w:lang w:val="en-US" w:eastAsia="zh-CN" w:bidi="ar"/>
              </w:rPr>
              <w:t>7287</w:t>
            </w:r>
          </w:p>
        </w:tc>
      </w:tr>
      <w:tr w14:paraId="00F9B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541" w:type="pct"/>
            <w:shd w:val="clear" w:color="auto" w:fill="auto"/>
            <w:noWrap/>
            <w:vAlign w:val="center"/>
          </w:tcPr>
          <w:p w14:paraId="4A84BA6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_GB2312" w:cs="Arial Narrow"/>
                <w:b w:val="0"/>
                <w:bCs w:val="0"/>
                <w:sz w:val="21"/>
                <w:szCs w:val="21"/>
                <w:lang w:val="en-US" w:eastAsia="zh-CN"/>
              </w:rPr>
            </w:pPr>
            <w:bookmarkStart w:id="634" w:name="_Toc27870"/>
            <w:bookmarkStart w:id="635" w:name="_Toc14105"/>
            <w:bookmarkStart w:id="636" w:name="_Toc5911"/>
            <w:bookmarkStart w:id="637" w:name="_Toc30704"/>
            <w:bookmarkStart w:id="638" w:name="_Toc2351"/>
            <w:bookmarkStart w:id="639" w:name="_Toc18666"/>
            <w:bookmarkStart w:id="640" w:name="_Toc30697"/>
            <w:r>
              <w:rPr>
                <w:rFonts w:hint="eastAsia" w:ascii="Arial Narrow" w:hAnsi="Arial Narrow" w:eastAsia="楷体_GB2312" w:cs="Arial Narrow"/>
                <w:b w:val="0"/>
                <w:bCs w:val="0"/>
                <w:sz w:val="21"/>
                <w:szCs w:val="21"/>
                <w:lang w:val="en-US" w:eastAsia="zh-CN"/>
              </w:rPr>
              <w:t>（2）</w:t>
            </w:r>
          </w:p>
        </w:tc>
        <w:tc>
          <w:tcPr>
            <w:tcW w:w="781" w:type="pct"/>
            <w:shd w:val="clear" w:color="auto" w:fill="auto"/>
            <w:noWrap/>
            <w:vAlign w:val="center"/>
          </w:tcPr>
          <w:p w14:paraId="5F7AF4A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bidi="ar"/>
              </w:rPr>
            </w:pPr>
          </w:p>
        </w:tc>
        <w:tc>
          <w:tcPr>
            <w:tcW w:w="625" w:type="pct"/>
            <w:shd w:val="clear" w:color="auto" w:fill="auto"/>
            <w:noWrap/>
            <w:vAlign w:val="center"/>
          </w:tcPr>
          <w:p w14:paraId="768186C7">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bidi="ar"/>
              </w:rPr>
            </w:pPr>
            <w:r>
              <w:rPr>
                <w:rFonts w:hint="default" w:ascii="Arial Narrow" w:hAnsi="Arial Narrow" w:eastAsia="楷体_GB2312" w:cs="Arial Narrow"/>
                <w:i w:val="0"/>
                <w:iCs w:val="0"/>
                <w:kern w:val="0"/>
                <w:sz w:val="21"/>
                <w:szCs w:val="21"/>
                <w:u w:val="none"/>
                <w:lang w:val="en-US" w:eastAsia="zh-CN" w:bidi="ar"/>
              </w:rPr>
              <w:t>新塘岭村</w:t>
            </w:r>
          </w:p>
        </w:tc>
        <w:tc>
          <w:tcPr>
            <w:tcW w:w="845" w:type="pct"/>
            <w:shd w:val="clear" w:color="auto" w:fill="auto"/>
            <w:noWrap/>
            <w:vAlign w:val="center"/>
          </w:tcPr>
          <w:p w14:paraId="1619D173">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bidi="ar"/>
              </w:rPr>
            </w:pPr>
            <w:r>
              <w:rPr>
                <w:rFonts w:hint="default" w:ascii="Arial Narrow" w:hAnsi="Arial Narrow" w:eastAsia="楷体_GB2312" w:cs="Arial Narrow"/>
                <w:i w:val="0"/>
                <w:iCs w:val="0"/>
                <w:kern w:val="0"/>
                <w:sz w:val="21"/>
                <w:szCs w:val="21"/>
                <w:u w:val="none"/>
                <w:lang w:val="en-US" w:eastAsia="zh-CN" w:bidi="ar"/>
              </w:rPr>
              <w:t>20224</w:t>
            </w:r>
          </w:p>
        </w:tc>
        <w:tc>
          <w:tcPr>
            <w:tcW w:w="845" w:type="pct"/>
            <w:shd w:val="clear" w:color="auto" w:fill="auto"/>
            <w:noWrap/>
            <w:vAlign w:val="center"/>
          </w:tcPr>
          <w:p w14:paraId="15918A6E">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bidi="ar"/>
              </w:rPr>
            </w:pPr>
            <w:r>
              <w:rPr>
                <w:rFonts w:hint="default" w:ascii="Arial Narrow" w:hAnsi="Arial Narrow" w:eastAsia="楷体_GB2312" w:cs="Arial Narrow"/>
                <w:i w:val="0"/>
                <w:iCs w:val="0"/>
                <w:kern w:val="0"/>
                <w:sz w:val="21"/>
                <w:szCs w:val="21"/>
                <w:u w:val="none"/>
                <w:lang w:val="en-US" w:eastAsia="zh-CN" w:bidi="ar"/>
              </w:rPr>
              <w:t>10112</w:t>
            </w:r>
          </w:p>
        </w:tc>
        <w:tc>
          <w:tcPr>
            <w:tcW w:w="774" w:type="pct"/>
            <w:shd w:val="clear" w:color="auto" w:fill="auto"/>
            <w:noWrap/>
            <w:vAlign w:val="center"/>
          </w:tcPr>
          <w:p w14:paraId="4F647CE9">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bidi="ar"/>
              </w:rPr>
            </w:pPr>
            <w:r>
              <w:rPr>
                <w:rFonts w:hint="default" w:ascii="Arial Narrow" w:hAnsi="Arial Narrow" w:eastAsia="楷体_GB2312" w:cs="Arial Narrow"/>
                <w:i w:val="0"/>
                <w:iCs w:val="0"/>
                <w:kern w:val="0"/>
                <w:sz w:val="21"/>
                <w:szCs w:val="21"/>
                <w:u w:val="none"/>
                <w:lang w:val="en-US" w:eastAsia="zh-CN" w:bidi="ar"/>
              </w:rPr>
              <w:t>10110</w:t>
            </w:r>
          </w:p>
        </w:tc>
        <w:tc>
          <w:tcPr>
            <w:tcW w:w="585" w:type="pct"/>
            <w:shd w:val="clear" w:color="auto" w:fill="auto"/>
            <w:noWrap/>
            <w:vAlign w:val="center"/>
          </w:tcPr>
          <w:p w14:paraId="59088E27">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bidi="ar"/>
              </w:rPr>
            </w:pPr>
            <w:r>
              <w:rPr>
                <w:rFonts w:hint="default" w:ascii="Arial Narrow" w:hAnsi="Arial Narrow" w:eastAsia="楷体_GB2312" w:cs="Arial Narrow"/>
                <w:b w:val="0"/>
                <w:bCs w:val="0"/>
                <w:i w:val="0"/>
                <w:iCs w:val="0"/>
                <w:kern w:val="0"/>
                <w:sz w:val="21"/>
                <w:szCs w:val="21"/>
                <w:u w:val="none"/>
                <w:lang w:val="en-US" w:eastAsia="zh-CN" w:bidi="ar"/>
              </w:rPr>
              <w:t>40446</w:t>
            </w:r>
          </w:p>
        </w:tc>
      </w:tr>
    </w:tbl>
    <w:p w14:paraId="227C1EF6">
      <w:pPr>
        <w:pageBreakBefore w:val="0"/>
        <w:widowControl w:val="0"/>
        <w:kinsoku/>
        <w:wordWrap/>
        <w:overflowPunct/>
        <w:topLinePunct w:val="0"/>
        <w:bidi w:val="0"/>
        <w:snapToGrid/>
        <w:spacing w:after="0" w:line="360" w:lineRule="auto"/>
        <w:ind w:firstLine="562" w:firstLineChars="200"/>
        <w:jc w:val="both"/>
        <w:outlineLvl w:val="0"/>
        <w:rPr>
          <w:rFonts w:hint="default"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②肥料</w:t>
      </w:r>
      <w:bookmarkEnd w:id="634"/>
      <w:bookmarkEnd w:id="635"/>
      <w:bookmarkEnd w:id="636"/>
      <w:bookmarkEnd w:id="637"/>
      <w:bookmarkEnd w:id="638"/>
      <w:bookmarkEnd w:id="639"/>
      <w:bookmarkEnd w:id="640"/>
    </w:p>
    <w:p w14:paraId="3A46B077">
      <w:pPr>
        <w:pageBreakBefore w:val="0"/>
        <w:widowControl w:val="0"/>
        <w:kinsoku/>
        <w:wordWrap/>
        <w:overflowPunct/>
        <w:topLinePunct w:val="0"/>
        <w:bidi w:val="0"/>
        <w:snapToGrid/>
        <w:spacing w:after="0" w:line="360" w:lineRule="auto"/>
        <w:ind w:firstLine="560" w:firstLineChars="200"/>
        <w:jc w:val="both"/>
        <w:outlineLvl w:val="1"/>
        <w:rPr>
          <w:rFonts w:hint="default" w:ascii="Times New Roman" w:hAnsi="Times New Roman" w:eastAsia="仿宋_GB2312" w:cs="Times New Roman"/>
          <w:bCs/>
          <w:kern w:val="0"/>
          <w:sz w:val="28"/>
          <w:szCs w:val="28"/>
          <w:lang w:val="en-US" w:eastAsia="zh-CN"/>
        </w:rPr>
      </w:pPr>
      <w:bookmarkStart w:id="641" w:name="_Toc9242"/>
      <w:bookmarkStart w:id="642" w:name="_Toc1401"/>
      <w:bookmarkStart w:id="643" w:name="_Toc27205"/>
      <w:bookmarkStart w:id="644" w:name="_Toc13986"/>
      <w:bookmarkStart w:id="645" w:name="_Toc20555"/>
      <w:bookmarkStart w:id="646" w:name="_Toc23777"/>
      <w:bookmarkStart w:id="647" w:name="_Toc3728"/>
      <w:r>
        <w:rPr>
          <w:rFonts w:hint="eastAsia" w:ascii="Times New Roman" w:hAnsi="Times New Roman" w:eastAsia="仿宋_GB2312" w:cs="Times New Roman"/>
          <w:bCs/>
          <w:kern w:val="0"/>
          <w:sz w:val="28"/>
          <w:szCs w:val="28"/>
          <w:lang w:val="en-US" w:eastAsia="zh-CN"/>
        </w:rPr>
        <w:t>栽植时，每穴商品有机肥5kg，再加钙镁磷肥或复合肥0.5kg。经计算项目共需</w:t>
      </w:r>
      <w:bookmarkEnd w:id="641"/>
      <w:r>
        <w:rPr>
          <w:rFonts w:hint="eastAsia" w:ascii="Times New Roman" w:hAnsi="Times New Roman" w:eastAsia="仿宋_GB2312" w:cs="Times New Roman"/>
          <w:bCs/>
          <w:kern w:val="0"/>
          <w:sz w:val="28"/>
          <w:szCs w:val="28"/>
          <w:lang w:val="en-US" w:eastAsia="zh-CN"/>
        </w:rPr>
        <w:t>有机肥216972kg，复合肥21697.2kg。抚育期（4年）供需有机肥216972kg，复合肥19527.48kg。</w:t>
      </w:r>
      <w:bookmarkEnd w:id="642"/>
      <w:bookmarkEnd w:id="643"/>
      <w:bookmarkEnd w:id="644"/>
      <w:bookmarkEnd w:id="645"/>
      <w:bookmarkEnd w:id="646"/>
      <w:bookmarkEnd w:id="647"/>
    </w:p>
    <w:p w14:paraId="66740C3E">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楷体" w:hAnsi="楷体" w:eastAsia="楷体" w:cs="楷体"/>
          <w:b/>
          <w:bCs w:val="0"/>
          <w:kern w:val="0"/>
          <w:sz w:val="24"/>
          <w:szCs w:val="24"/>
          <w:lang w:val="en-US" w:eastAsia="zh-CN"/>
        </w:rPr>
      </w:pPr>
      <w:r>
        <w:rPr>
          <w:rFonts w:hint="eastAsia" w:ascii="楷体" w:hAnsi="楷体" w:eastAsia="楷体" w:cs="楷体"/>
          <w:b/>
          <w:bCs w:val="0"/>
          <w:kern w:val="0"/>
          <w:sz w:val="24"/>
          <w:szCs w:val="24"/>
          <w:lang w:val="en-US" w:eastAsia="zh-CN"/>
        </w:rPr>
        <w:t>表11-3 各乡镇肥料用量汇总表</w:t>
      </w:r>
    </w:p>
    <w:p w14:paraId="05E4379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right"/>
        <w:rPr>
          <w:rFonts w:ascii="楷体_GB2312" w:hAnsi="宋体" w:eastAsia="楷体_GB2312"/>
          <w:szCs w:val="21"/>
        </w:rPr>
      </w:pPr>
      <w:r>
        <w:rPr>
          <w:rFonts w:hint="eastAsia" w:ascii="楷体_GB2312" w:hAnsi="宋体" w:eastAsia="楷体_GB2312"/>
          <w:szCs w:val="21"/>
        </w:rPr>
        <w:t>单位：</w:t>
      </w:r>
      <w:r>
        <w:rPr>
          <w:rFonts w:hint="eastAsia" w:ascii="楷体_GB2312" w:hAnsi="宋体" w:eastAsia="楷体_GB2312"/>
          <w:szCs w:val="21"/>
          <w:lang w:val="en-US" w:eastAsia="zh-CN"/>
        </w:rPr>
        <w:t>kg</w:t>
      </w:r>
    </w:p>
    <w:tbl>
      <w:tblPr>
        <w:tblStyle w:val="2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9"/>
        <w:gridCol w:w="1173"/>
        <w:gridCol w:w="1470"/>
        <w:gridCol w:w="1328"/>
        <w:gridCol w:w="1178"/>
        <w:gridCol w:w="1328"/>
        <w:gridCol w:w="1173"/>
      </w:tblGrid>
      <w:tr w14:paraId="262CB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blHeader/>
        </w:trPr>
        <w:tc>
          <w:tcPr>
            <w:tcW w:w="510" w:type="pct"/>
            <w:vMerge w:val="restart"/>
            <w:shd w:val="clear" w:color="auto" w:fill="auto"/>
            <w:noWrap/>
            <w:vAlign w:val="center"/>
          </w:tcPr>
          <w:p w14:paraId="5185780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序号</w:t>
            </w:r>
          </w:p>
        </w:tc>
        <w:tc>
          <w:tcPr>
            <w:tcW w:w="688" w:type="pct"/>
            <w:vMerge w:val="restart"/>
            <w:shd w:val="clear" w:color="auto" w:fill="auto"/>
            <w:noWrap/>
            <w:vAlign w:val="center"/>
          </w:tcPr>
          <w:p w14:paraId="0EB16D4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rPr>
            </w:pPr>
            <w:r>
              <w:rPr>
                <w:rFonts w:hint="default" w:ascii="Arial Narrow" w:hAnsi="Arial Narrow" w:eastAsia="楷体_GB2312" w:cs="Arial Narrow"/>
                <w:b/>
                <w:bCs/>
                <w:sz w:val="21"/>
                <w:szCs w:val="21"/>
              </w:rPr>
              <w:t>乡镇</w:t>
            </w:r>
          </w:p>
        </w:tc>
        <w:tc>
          <w:tcPr>
            <w:tcW w:w="862" w:type="pct"/>
            <w:vMerge w:val="restart"/>
            <w:shd w:val="clear" w:color="auto" w:fill="auto"/>
            <w:noWrap/>
            <w:vAlign w:val="center"/>
          </w:tcPr>
          <w:p w14:paraId="5A6F347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kern w:val="0"/>
                <w:sz w:val="21"/>
                <w:szCs w:val="21"/>
                <w:lang w:val="en-US" w:eastAsia="zh-CN" w:bidi="ar"/>
              </w:rPr>
            </w:pPr>
            <w:r>
              <w:rPr>
                <w:rFonts w:hint="default" w:ascii="Arial Narrow" w:hAnsi="Arial Narrow" w:eastAsia="楷体_GB2312" w:cs="Arial Narrow"/>
                <w:b/>
                <w:bCs/>
                <w:kern w:val="0"/>
                <w:sz w:val="21"/>
                <w:szCs w:val="21"/>
                <w:lang w:val="en-US" w:eastAsia="zh-CN" w:bidi="ar"/>
              </w:rPr>
              <w:t>村</w:t>
            </w:r>
          </w:p>
        </w:tc>
        <w:tc>
          <w:tcPr>
            <w:tcW w:w="1470" w:type="pct"/>
            <w:gridSpan w:val="2"/>
            <w:shd w:val="clear" w:color="auto" w:fill="auto"/>
            <w:noWrap/>
            <w:vAlign w:val="center"/>
          </w:tcPr>
          <w:p w14:paraId="6DC68EA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基肥</w:t>
            </w:r>
          </w:p>
        </w:tc>
        <w:tc>
          <w:tcPr>
            <w:tcW w:w="1467" w:type="pct"/>
            <w:gridSpan w:val="2"/>
            <w:shd w:val="clear" w:color="auto" w:fill="auto"/>
            <w:noWrap/>
            <w:vAlign w:val="center"/>
          </w:tcPr>
          <w:p w14:paraId="3CDEDFA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追肥</w:t>
            </w:r>
          </w:p>
        </w:tc>
      </w:tr>
      <w:tr w14:paraId="0E89A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510" w:type="pct"/>
            <w:vMerge w:val="continue"/>
            <w:shd w:val="clear" w:color="auto" w:fill="auto"/>
            <w:noWrap/>
            <w:vAlign w:val="center"/>
          </w:tcPr>
          <w:p w14:paraId="7FA7FE2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lang w:val="en-US" w:eastAsia="zh-CN"/>
              </w:rPr>
            </w:pPr>
          </w:p>
        </w:tc>
        <w:tc>
          <w:tcPr>
            <w:tcW w:w="688" w:type="pct"/>
            <w:vMerge w:val="continue"/>
            <w:shd w:val="clear" w:color="auto" w:fill="auto"/>
            <w:noWrap/>
            <w:vAlign w:val="center"/>
          </w:tcPr>
          <w:p w14:paraId="10C8D07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p>
        </w:tc>
        <w:tc>
          <w:tcPr>
            <w:tcW w:w="862" w:type="pct"/>
            <w:vMerge w:val="continue"/>
            <w:shd w:val="clear" w:color="auto" w:fill="auto"/>
            <w:noWrap/>
            <w:vAlign w:val="center"/>
          </w:tcPr>
          <w:p w14:paraId="0EEB8AF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rPr>
                <w:rFonts w:hint="default" w:ascii="Arial Narrow" w:hAnsi="Arial Narrow" w:eastAsia="楷体_GB2312" w:cs="Arial Narrow"/>
                <w:b/>
                <w:bCs/>
                <w:sz w:val="21"/>
                <w:szCs w:val="21"/>
              </w:rPr>
            </w:pPr>
          </w:p>
        </w:tc>
        <w:tc>
          <w:tcPr>
            <w:tcW w:w="779" w:type="pct"/>
            <w:shd w:val="clear" w:color="auto" w:fill="auto"/>
            <w:noWrap/>
            <w:vAlign w:val="center"/>
          </w:tcPr>
          <w:p w14:paraId="3351AD9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有机肥</w:t>
            </w:r>
          </w:p>
        </w:tc>
        <w:tc>
          <w:tcPr>
            <w:tcW w:w="691" w:type="pct"/>
            <w:shd w:val="clear" w:color="auto" w:fill="auto"/>
            <w:noWrap/>
            <w:vAlign w:val="center"/>
          </w:tcPr>
          <w:p w14:paraId="031C791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复合肥</w:t>
            </w:r>
          </w:p>
        </w:tc>
        <w:tc>
          <w:tcPr>
            <w:tcW w:w="779" w:type="pct"/>
            <w:shd w:val="clear" w:color="auto" w:fill="auto"/>
            <w:noWrap/>
            <w:vAlign w:val="center"/>
          </w:tcPr>
          <w:p w14:paraId="1D40DEF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有机肥</w:t>
            </w:r>
          </w:p>
        </w:tc>
        <w:tc>
          <w:tcPr>
            <w:tcW w:w="688" w:type="pct"/>
            <w:shd w:val="clear" w:color="auto" w:fill="auto"/>
            <w:noWrap/>
            <w:vAlign w:val="center"/>
          </w:tcPr>
          <w:p w14:paraId="7B6B186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bCs/>
                <w:sz w:val="21"/>
                <w:szCs w:val="21"/>
                <w:lang w:val="en-US" w:eastAsia="zh-CN"/>
              </w:rPr>
            </w:pPr>
            <w:r>
              <w:rPr>
                <w:rFonts w:hint="default" w:ascii="Arial Narrow" w:hAnsi="Arial Narrow" w:eastAsia="楷体_GB2312" w:cs="Arial Narrow"/>
                <w:b/>
                <w:bCs/>
                <w:sz w:val="21"/>
                <w:szCs w:val="21"/>
                <w:lang w:val="en-US" w:eastAsia="zh-CN"/>
              </w:rPr>
              <w:t>复合肥</w:t>
            </w:r>
          </w:p>
        </w:tc>
      </w:tr>
      <w:tr w14:paraId="41B33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510" w:type="pct"/>
            <w:shd w:val="clear" w:color="auto" w:fill="auto"/>
            <w:noWrap/>
            <w:vAlign w:val="center"/>
          </w:tcPr>
          <w:p w14:paraId="0EC1777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u w:val="none"/>
                <w:lang w:val="en-US" w:eastAsia="zh-CN" w:bidi="ar"/>
              </w:rPr>
            </w:pPr>
            <w:r>
              <w:rPr>
                <w:rFonts w:hint="default" w:ascii="Arial Narrow" w:hAnsi="Arial Narrow" w:eastAsia="楷体_GB2312" w:cs="Arial Narrow"/>
                <w:b w:val="0"/>
                <w:bCs w:val="0"/>
                <w:sz w:val="21"/>
                <w:szCs w:val="21"/>
                <w:u w:val="none"/>
                <w:lang w:val="en-US" w:eastAsia="zh-CN" w:bidi="ar"/>
              </w:rPr>
              <w:t>1</w:t>
            </w:r>
          </w:p>
        </w:tc>
        <w:tc>
          <w:tcPr>
            <w:tcW w:w="688" w:type="pct"/>
            <w:shd w:val="clear" w:color="auto" w:fill="auto"/>
            <w:noWrap/>
            <w:vAlign w:val="center"/>
          </w:tcPr>
          <w:p w14:paraId="1837387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u w:val="none"/>
                <w:lang w:val="en-US" w:eastAsia="zh-CN" w:bidi="ar"/>
              </w:rPr>
            </w:pPr>
            <w:r>
              <w:rPr>
                <w:rFonts w:hint="default" w:ascii="Arial Narrow" w:hAnsi="Arial Narrow" w:eastAsia="楷体_GB2312" w:cs="Arial Narrow"/>
                <w:b w:val="0"/>
                <w:bCs w:val="0"/>
                <w:sz w:val="21"/>
                <w:szCs w:val="21"/>
                <w:u w:val="none"/>
                <w:lang w:val="en-US" w:eastAsia="zh-CN" w:bidi="ar"/>
              </w:rPr>
              <w:t>白石镇</w:t>
            </w:r>
          </w:p>
        </w:tc>
        <w:tc>
          <w:tcPr>
            <w:tcW w:w="862" w:type="pct"/>
            <w:shd w:val="clear" w:color="auto" w:fill="auto"/>
            <w:noWrap/>
            <w:vAlign w:val="center"/>
          </w:tcPr>
          <w:p w14:paraId="0F8EA07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u w:val="none"/>
                <w:lang w:val="en-US" w:eastAsia="zh-CN" w:bidi="ar"/>
              </w:rPr>
            </w:pPr>
          </w:p>
        </w:tc>
        <w:tc>
          <w:tcPr>
            <w:tcW w:w="779" w:type="pct"/>
            <w:shd w:val="clear" w:color="auto" w:fill="auto"/>
            <w:noWrap/>
            <w:vAlign w:val="center"/>
          </w:tcPr>
          <w:p w14:paraId="6977D5FC">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u w:val="none"/>
                <w:lang w:val="en-US" w:eastAsia="zh-CN" w:bidi="ar"/>
              </w:rPr>
            </w:pPr>
            <w:r>
              <w:rPr>
                <w:rFonts w:hint="default" w:ascii="Arial Narrow" w:hAnsi="Arial Narrow" w:eastAsia="楷体_GB2312" w:cs="Arial Narrow"/>
                <w:b w:val="0"/>
                <w:bCs w:val="0"/>
                <w:i w:val="0"/>
                <w:iCs w:val="0"/>
                <w:kern w:val="0"/>
                <w:sz w:val="21"/>
                <w:szCs w:val="21"/>
                <w:u w:val="none"/>
                <w:lang w:val="en-US" w:eastAsia="zh-CN" w:bidi="ar"/>
              </w:rPr>
              <w:t>216972</w:t>
            </w:r>
          </w:p>
        </w:tc>
        <w:tc>
          <w:tcPr>
            <w:tcW w:w="691" w:type="pct"/>
            <w:shd w:val="clear" w:color="auto" w:fill="auto"/>
            <w:noWrap/>
            <w:vAlign w:val="center"/>
          </w:tcPr>
          <w:p w14:paraId="182BF885">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u w:val="none"/>
                <w:lang w:val="en-US" w:eastAsia="zh-CN" w:bidi="ar"/>
              </w:rPr>
            </w:pPr>
            <w:r>
              <w:rPr>
                <w:rFonts w:hint="default" w:ascii="Arial Narrow" w:hAnsi="Arial Narrow" w:eastAsia="楷体_GB2312" w:cs="Arial Narrow"/>
                <w:b w:val="0"/>
                <w:bCs w:val="0"/>
                <w:i w:val="0"/>
                <w:iCs w:val="0"/>
                <w:kern w:val="0"/>
                <w:sz w:val="21"/>
                <w:szCs w:val="21"/>
                <w:u w:val="none"/>
                <w:lang w:val="en-US" w:eastAsia="zh-CN" w:bidi="ar"/>
              </w:rPr>
              <w:t>21697.2</w:t>
            </w:r>
          </w:p>
        </w:tc>
        <w:tc>
          <w:tcPr>
            <w:tcW w:w="779" w:type="pct"/>
            <w:shd w:val="clear" w:color="auto" w:fill="auto"/>
            <w:noWrap/>
            <w:vAlign w:val="center"/>
          </w:tcPr>
          <w:p w14:paraId="2C678FE6">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u w:val="none"/>
                <w:lang w:val="en-US" w:eastAsia="zh-CN" w:bidi="ar"/>
              </w:rPr>
            </w:pPr>
            <w:r>
              <w:rPr>
                <w:rFonts w:hint="default" w:ascii="Arial Narrow" w:hAnsi="Arial Narrow" w:eastAsia="楷体_GB2312" w:cs="Arial Narrow"/>
                <w:b w:val="0"/>
                <w:bCs w:val="0"/>
                <w:i w:val="0"/>
                <w:iCs w:val="0"/>
                <w:kern w:val="0"/>
                <w:sz w:val="21"/>
                <w:szCs w:val="21"/>
                <w:u w:val="none"/>
                <w:lang w:val="en-US" w:eastAsia="zh-CN" w:bidi="ar"/>
              </w:rPr>
              <w:t>216972</w:t>
            </w:r>
          </w:p>
        </w:tc>
        <w:tc>
          <w:tcPr>
            <w:tcW w:w="688" w:type="pct"/>
            <w:shd w:val="clear" w:color="auto" w:fill="auto"/>
            <w:noWrap/>
            <w:vAlign w:val="center"/>
          </w:tcPr>
          <w:p w14:paraId="26DB61DF">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u w:val="none"/>
                <w:lang w:val="en-US" w:eastAsia="zh-CN" w:bidi="ar"/>
              </w:rPr>
            </w:pPr>
            <w:r>
              <w:rPr>
                <w:rFonts w:hint="default" w:ascii="Arial Narrow" w:hAnsi="Arial Narrow" w:eastAsia="楷体_GB2312" w:cs="Arial Narrow"/>
                <w:b w:val="0"/>
                <w:bCs w:val="0"/>
                <w:i w:val="0"/>
                <w:iCs w:val="0"/>
                <w:kern w:val="0"/>
                <w:sz w:val="21"/>
                <w:szCs w:val="21"/>
                <w:u w:val="none"/>
                <w:lang w:val="en-US" w:eastAsia="zh-CN" w:bidi="ar"/>
              </w:rPr>
              <w:t>19527.48</w:t>
            </w:r>
          </w:p>
        </w:tc>
      </w:tr>
      <w:tr w14:paraId="5B673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510" w:type="pct"/>
            <w:shd w:val="clear" w:color="auto" w:fill="auto"/>
            <w:noWrap/>
            <w:vAlign w:val="center"/>
          </w:tcPr>
          <w:p w14:paraId="5F9CDC8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u w:val="none"/>
                <w:lang w:val="en-US" w:eastAsia="zh-CN" w:bidi="ar"/>
              </w:rPr>
            </w:pPr>
            <w:r>
              <w:rPr>
                <w:rFonts w:hint="default" w:ascii="Arial Narrow" w:hAnsi="Arial Narrow" w:eastAsia="楷体_GB2312" w:cs="Arial Narrow"/>
                <w:b w:val="0"/>
                <w:bCs w:val="0"/>
                <w:sz w:val="21"/>
                <w:szCs w:val="21"/>
                <w:u w:val="none"/>
                <w:lang w:val="en-US" w:eastAsia="zh-CN" w:bidi="ar"/>
              </w:rPr>
              <w:t>2</w:t>
            </w:r>
          </w:p>
        </w:tc>
        <w:tc>
          <w:tcPr>
            <w:tcW w:w="688" w:type="pct"/>
            <w:shd w:val="clear" w:color="auto" w:fill="auto"/>
            <w:noWrap/>
            <w:vAlign w:val="center"/>
          </w:tcPr>
          <w:p w14:paraId="2949AC6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sz w:val="21"/>
                <w:szCs w:val="21"/>
                <w:u w:val="none"/>
                <w:lang w:val="en-US" w:eastAsia="zh-CN" w:bidi="ar"/>
              </w:rPr>
            </w:pPr>
          </w:p>
        </w:tc>
        <w:tc>
          <w:tcPr>
            <w:tcW w:w="862" w:type="pct"/>
            <w:shd w:val="clear" w:color="auto" w:fill="auto"/>
            <w:noWrap/>
            <w:vAlign w:val="center"/>
          </w:tcPr>
          <w:p w14:paraId="51CC73CB">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u w:val="none"/>
                <w:lang w:val="en-US" w:eastAsia="zh-CN" w:bidi="ar"/>
              </w:rPr>
            </w:pPr>
            <w:r>
              <w:rPr>
                <w:rFonts w:hint="default" w:ascii="Arial Narrow" w:hAnsi="Arial Narrow" w:eastAsia="楷体_GB2312" w:cs="Arial Narrow"/>
                <w:i w:val="0"/>
                <w:iCs w:val="0"/>
                <w:kern w:val="0"/>
                <w:sz w:val="21"/>
                <w:szCs w:val="21"/>
                <w:u w:val="none"/>
                <w:lang w:val="en-US" w:eastAsia="zh-CN" w:bidi="ar"/>
              </w:rPr>
              <w:t>十八里村</w:t>
            </w:r>
          </w:p>
        </w:tc>
        <w:tc>
          <w:tcPr>
            <w:tcW w:w="779" w:type="pct"/>
            <w:shd w:val="clear" w:color="auto" w:fill="auto"/>
            <w:noWrap/>
            <w:vAlign w:val="center"/>
          </w:tcPr>
          <w:p w14:paraId="3AED2FBA">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u w:val="none"/>
                <w:lang w:val="en-US" w:eastAsia="zh-CN" w:bidi="ar"/>
              </w:rPr>
            </w:pPr>
            <w:r>
              <w:rPr>
                <w:rFonts w:hint="default" w:ascii="Arial Narrow" w:hAnsi="Arial Narrow" w:eastAsia="楷体_GB2312" w:cs="Arial Narrow"/>
                <w:i w:val="0"/>
                <w:iCs w:val="0"/>
                <w:kern w:val="0"/>
                <w:sz w:val="21"/>
                <w:szCs w:val="21"/>
                <w:u w:val="none"/>
                <w:lang w:val="en-US" w:eastAsia="zh-CN" w:bidi="ar"/>
              </w:rPr>
              <w:t>33124</w:t>
            </w:r>
          </w:p>
        </w:tc>
        <w:tc>
          <w:tcPr>
            <w:tcW w:w="691" w:type="pct"/>
            <w:shd w:val="clear" w:color="auto" w:fill="auto"/>
            <w:noWrap/>
            <w:vAlign w:val="center"/>
          </w:tcPr>
          <w:p w14:paraId="07F1E8EA">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u w:val="none"/>
                <w:lang w:val="en-US" w:eastAsia="zh-CN" w:bidi="ar"/>
              </w:rPr>
            </w:pPr>
            <w:r>
              <w:rPr>
                <w:rFonts w:hint="default" w:ascii="Arial Narrow" w:hAnsi="Arial Narrow" w:eastAsia="楷体_GB2312" w:cs="Arial Narrow"/>
                <w:i w:val="0"/>
                <w:iCs w:val="0"/>
                <w:kern w:val="0"/>
                <w:sz w:val="21"/>
                <w:szCs w:val="21"/>
                <w:u w:val="none"/>
                <w:lang w:val="en-US" w:eastAsia="zh-CN" w:bidi="ar"/>
              </w:rPr>
              <w:t>3312.4</w:t>
            </w:r>
          </w:p>
        </w:tc>
        <w:tc>
          <w:tcPr>
            <w:tcW w:w="779" w:type="pct"/>
            <w:shd w:val="clear" w:color="auto" w:fill="auto"/>
            <w:noWrap/>
            <w:vAlign w:val="center"/>
          </w:tcPr>
          <w:p w14:paraId="377E4255">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u w:val="none"/>
                <w:lang w:val="en-US" w:eastAsia="zh-CN" w:bidi="ar"/>
              </w:rPr>
            </w:pPr>
            <w:r>
              <w:rPr>
                <w:rFonts w:hint="default" w:ascii="Arial Narrow" w:hAnsi="Arial Narrow" w:eastAsia="楷体_GB2312" w:cs="Arial Narrow"/>
                <w:i w:val="0"/>
                <w:iCs w:val="0"/>
                <w:kern w:val="0"/>
                <w:sz w:val="21"/>
                <w:szCs w:val="21"/>
                <w:u w:val="none"/>
                <w:lang w:val="en-US" w:eastAsia="zh-CN" w:bidi="ar"/>
              </w:rPr>
              <w:t>33124</w:t>
            </w:r>
          </w:p>
        </w:tc>
        <w:tc>
          <w:tcPr>
            <w:tcW w:w="688" w:type="pct"/>
            <w:shd w:val="clear" w:color="auto" w:fill="auto"/>
            <w:noWrap/>
            <w:vAlign w:val="center"/>
          </w:tcPr>
          <w:p w14:paraId="583E050A">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u w:val="none"/>
                <w:lang w:val="en-US" w:eastAsia="zh-CN" w:bidi="ar"/>
              </w:rPr>
            </w:pPr>
            <w:r>
              <w:rPr>
                <w:rFonts w:hint="default" w:ascii="Arial Narrow" w:hAnsi="Arial Narrow" w:eastAsia="楷体_GB2312" w:cs="Arial Narrow"/>
                <w:i w:val="0"/>
                <w:iCs w:val="0"/>
                <w:kern w:val="0"/>
                <w:sz w:val="21"/>
                <w:szCs w:val="21"/>
                <w:u w:val="none"/>
                <w:lang w:val="en-US" w:eastAsia="zh-CN" w:bidi="ar"/>
              </w:rPr>
              <w:t>2981.16</w:t>
            </w:r>
          </w:p>
        </w:tc>
      </w:tr>
      <w:tr w14:paraId="1F09F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510" w:type="pct"/>
            <w:shd w:val="clear" w:color="auto" w:fill="auto"/>
            <w:noWrap/>
            <w:vAlign w:val="center"/>
          </w:tcPr>
          <w:p w14:paraId="498D641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b w:val="0"/>
                <w:bCs w:val="0"/>
                <w:sz w:val="21"/>
                <w:szCs w:val="21"/>
                <w:u w:val="none"/>
                <w:lang w:val="en-US" w:eastAsia="zh-CN" w:bidi="ar"/>
              </w:rPr>
            </w:pPr>
            <w:bookmarkStart w:id="648" w:name="_Toc11836"/>
            <w:bookmarkStart w:id="649" w:name="_Toc4872"/>
            <w:bookmarkStart w:id="650" w:name="_Toc9755"/>
            <w:bookmarkStart w:id="651" w:name="_Toc25523"/>
            <w:bookmarkStart w:id="652" w:name="_Toc10325"/>
            <w:bookmarkStart w:id="653" w:name="_Toc11674"/>
            <w:bookmarkStart w:id="654" w:name="_Toc28336"/>
            <w:r>
              <w:rPr>
                <w:rFonts w:hint="default" w:ascii="Arial Narrow" w:hAnsi="Arial Narrow" w:eastAsia="楷体_GB2312" w:cs="Arial Narrow"/>
                <w:b w:val="0"/>
                <w:bCs w:val="0"/>
                <w:sz w:val="21"/>
                <w:szCs w:val="21"/>
                <w:u w:val="none"/>
                <w:lang w:val="en-US" w:eastAsia="zh-CN" w:bidi="ar"/>
              </w:rPr>
              <w:t>3</w:t>
            </w:r>
          </w:p>
        </w:tc>
        <w:tc>
          <w:tcPr>
            <w:tcW w:w="688" w:type="pct"/>
            <w:shd w:val="clear" w:color="auto" w:fill="auto"/>
            <w:noWrap/>
            <w:vAlign w:val="center"/>
          </w:tcPr>
          <w:p w14:paraId="5E4D15A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_GB2312" w:cs="Arial Narrow"/>
                <w:sz w:val="21"/>
                <w:szCs w:val="21"/>
                <w:u w:val="none"/>
                <w:lang w:val="en-US" w:eastAsia="zh-CN" w:bidi="ar"/>
              </w:rPr>
            </w:pPr>
          </w:p>
        </w:tc>
        <w:tc>
          <w:tcPr>
            <w:tcW w:w="862" w:type="pct"/>
            <w:shd w:val="clear" w:color="auto" w:fill="auto"/>
            <w:noWrap/>
            <w:vAlign w:val="center"/>
          </w:tcPr>
          <w:p w14:paraId="62319E88">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u w:val="none"/>
                <w:lang w:val="en-US" w:eastAsia="zh-CN" w:bidi="ar"/>
              </w:rPr>
            </w:pPr>
            <w:r>
              <w:rPr>
                <w:rFonts w:hint="default" w:ascii="Arial Narrow" w:hAnsi="Arial Narrow" w:eastAsia="楷体_GB2312" w:cs="Arial Narrow"/>
                <w:i w:val="0"/>
                <w:iCs w:val="0"/>
                <w:kern w:val="0"/>
                <w:sz w:val="21"/>
                <w:szCs w:val="21"/>
                <w:u w:val="none"/>
                <w:lang w:val="en-US" w:eastAsia="zh-CN" w:bidi="ar"/>
              </w:rPr>
              <w:t>新塘岭村</w:t>
            </w:r>
          </w:p>
        </w:tc>
        <w:tc>
          <w:tcPr>
            <w:tcW w:w="779" w:type="pct"/>
            <w:shd w:val="clear" w:color="auto" w:fill="auto"/>
            <w:noWrap/>
            <w:vAlign w:val="center"/>
          </w:tcPr>
          <w:p w14:paraId="029BD433">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u w:val="none"/>
                <w:lang w:val="en-US" w:eastAsia="zh-CN" w:bidi="ar"/>
              </w:rPr>
            </w:pPr>
            <w:r>
              <w:rPr>
                <w:rFonts w:hint="default" w:ascii="Arial Narrow" w:hAnsi="Arial Narrow" w:eastAsia="楷体_GB2312" w:cs="Arial Narrow"/>
                <w:i w:val="0"/>
                <w:iCs w:val="0"/>
                <w:kern w:val="0"/>
                <w:sz w:val="21"/>
                <w:szCs w:val="21"/>
                <w:u w:val="none"/>
                <w:lang w:val="en-US" w:eastAsia="zh-CN" w:bidi="ar"/>
              </w:rPr>
              <w:t>183848</w:t>
            </w:r>
          </w:p>
        </w:tc>
        <w:tc>
          <w:tcPr>
            <w:tcW w:w="691" w:type="pct"/>
            <w:shd w:val="clear" w:color="auto" w:fill="auto"/>
            <w:noWrap/>
            <w:vAlign w:val="center"/>
          </w:tcPr>
          <w:p w14:paraId="3486623F">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u w:val="none"/>
                <w:lang w:val="en-US" w:eastAsia="zh-CN" w:bidi="ar"/>
              </w:rPr>
            </w:pPr>
            <w:r>
              <w:rPr>
                <w:rFonts w:hint="default" w:ascii="Arial Narrow" w:hAnsi="Arial Narrow" w:eastAsia="楷体_GB2312" w:cs="Arial Narrow"/>
                <w:i w:val="0"/>
                <w:iCs w:val="0"/>
                <w:kern w:val="0"/>
                <w:sz w:val="21"/>
                <w:szCs w:val="21"/>
                <w:u w:val="none"/>
                <w:lang w:val="en-US" w:eastAsia="zh-CN" w:bidi="ar"/>
              </w:rPr>
              <w:t>18384.8</w:t>
            </w:r>
          </w:p>
        </w:tc>
        <w:tc>
          <w:tcPr>
            <w:tcW w:w="779" w:type="pct"/>
            <w:shd w:val="clear" w:color="auto" w:fill="auto"/>
            <w:noWrap/>
            <w:vAlign w:val="center"/>
          </w:tcPr>
          <w:p w14:paraId="058182D0">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u w:val="none"/>
                <w:lang w:val="en-US" w:eastAsia="zh-CN" w:bidi="ar"/>
              </w:rPr>
            </w:pPr>
            <w:r>
              <w:rPr>
                <w:rFonts w:hint="default" w:ascii="Arial Narrow" w:hAnsi="Arial Narrow" w:eastAsia="楷体_GB2312" w:cs="Arial Narrow"/>
                <w:i w:val="0"/>
                <w:iCs w:val="0"/>
                <w:kern w:val="0"/>
                <w:sz w:val="21"/>
                <w:szCs w:val="21"/>
                <w:u w:val="none"/>
                <w:lang w:val="en-US" w:eastAsia="zh-CN" w:bidi="ar"/>
              </w:rPr>
              <w:t>183848</w:t>
            </w:r>
          </w:p>
        </w:tc>
        <w:tc>
          <w:tcPr>
            <w:tcW w:w="688" w:type="pct"/>
            <w:shd w:val="clear" w:color="auto" w:fill="auto"/>
            <w:noWrap/>
            <w:vAlign w:val="center"/>
          </w:tcPr>
          <w:p w14:paraId="6FE091D5">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_GB2312" w:cs="Arial Narrow"/>
                <w:b w:val="0"/>
                <w:bCs w:val="0"/>
                <w:sz w:val="21"/>
                <w:szCs w:val="21"/>
                <w:u w:val="none"/>
                <w:lang w:val="en-US" w:eastAsia="zh-CN" w:bidi="ar"/>
              </w:rPr>
            </w:pPr>
            <w:r>
              <w:rPr>
                <w:rFonts w:hint="default" w:ascii="Arial Narrow" w:hAnsi="Arial Narrow" w:eastAsia="楷体_GB2312" w:cs="Arial Narrow"/>
                <w:i w:val="0"/>
                <w:iCs w:val="0"/>
                <w:kern w:val="0"/>
                <w:sz w:val="21"/>
                <w:szCs w:val="21"/>
                <w:u w:val="none"/>
                <w:lang w:val="en-US" w:eastAsia="zh-CN" w:bidi="ar"/>
              </w:rPr>
              <w:t>16546.32</w:t>
            </w:r>
          </w:p>
        </w:tc>
      </w:tr>
    </w:tbl>
    <w:p w14:paraId="5124B69C">
      <w:pPr>
        <w:pageBreakBefore w:val="0"/>
        <w:widowControl w:val="0"/>
        <w:kinsoku/>
        <w:wordWrap/>
        <w:overflowPunct/>
        <w:topLinePunct w:val="0"/>
        <w:bidi w:val="0"/>
        <w:snapToGrid/>
        <w:spacing w:after="0" w:line="360" w:lineRule="auto"/>
        <w:ind w:firstLine="562" w:firstLineChars="200"/>
        <w:jc w:val="both"/>
        <w:outlineLvl w:val="1"/>
        <w:rPr>
          <w:rFonts w:hint="default"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2）施工工程量</w:t>
      </w:r>
      <w:bookmarkEnd w:id="648"/>
      <w:bookmarkEnd w:id="649"/>
      <w:bookmarkEnd w:id="650"/>
      <w:bookmarkEnd w:id="651"/>
      <w:bookmarkEnd w:id="652"/>
      <w:bookmarkEnd w:id="653"/>
      <w:bookmarkEnd w:id="654"/>
    </w:p>
    <w:p w14:paraId="15B28A88">
      <w:pPr>
        <w:pageBreakBefore w:val="0"/>
        <w:widowControl w:val="0"/>
        <w:kinsoku/>
        <w:wordWrap/>
        <w:overflowPunct/>
        <w:topLinePunct w:val="0"/>
        <w:bidi w:val="0"/>
        <w:snapToGrid/>
        <w:spacing w:after="0" w:line="360" w:lineRule="auto"/>
        <w:ind w:firstLine="562" w:firstLineChars="200"/>
        <w:jc w:val="both"/>
        <w:outlineLvl w:val="0"/>
        <w:rPr>
          <w:rFonts w:hint="default" w:ascii="Times New Roman" w:hAnsi="Times New Roman" w:eastAsia="仿宋_GB2312" w:cs="Times New Roman"/>
          <w:b/>
          <w:bCs w:val="0"/>
          <w:kern w:val="0"/>
          <w:sz w:val="28"/>
          <w:szCs w:val="28"/>
          <w:lang w:val="en-US" w:eastAsia="zh-CN"/>
        </w:rPr>
      </w:pPr>
      <w:bookmarkStart w:id="655" w:name="_Toc26098"/>
      <w:bookmarkStart w:id="656" w:name="_Toc7644"/>
      <w:bookmarkStart w:id="657" w:name="_Toc3280"/>
      <w:bookmarkStart w:id="658" w:name="_Toc23545"/>
      <w:bookmarkStart w:id="659" w:name="_Toc688"/>
      <w:bookmarkStart w:id="660" w:name="_Toc25143"/>
      <w:bookmarkStart w:id="661" w:name="_Toc22152"/>
      <w:r>
        <w:rPr>
          <w:rFonts w:hint="eastAsia" w:ascii="Times New Roman" w:hAnsi="Times New Roman" w:eastAsia="仿宋_GB2312" w:cs="Times New Roman"/>
          <w:b/>
          <w:bCs w:val="0"/>
          <w:kern w:val="0"/>
          <w:sz w:val="28"/>
          <w:szCs w:val="28"/>
          <w:lang w:val="en-US" w:eastAsia="zh-CN"/>
        </w:rPr>
        <w:t>①乔木林采伐</w:t>
      </w:r>
      <w:bookmarkEnd w:id="655"/>
      <w:bookmarkEnd w:id="656"/>
      <w:bookmarkEnd w:id="657"/>
      <w:bookmarkEnd w:id="658"/>
      <w:bookmarkEnd w:id="659"/>
      <w:bookmarkEnd w:id="660"/>
      <w:bookmarkEnd w:id="661"/>
    </w:p>
    <w:p w14:paraId="7BF0B6C6">
      <w:pPr>
        <w:pageBreakBefore w:val="0"/>
        <w:widowControl w:val="0"/>
        <w:kinsoku/>
        <w:wordWrap/>
        <w:overflowPunct/>
        <w:topLinePunct w:val="0"/>
        <w:bidi w:val="0"/>
        <w:snapToGrid/>
        <w:spacing w:after="0" w:line="360" w:lineRule="auto"/>
        <w:ind w:firstLine="560" w:firstLineChars="200"/>
        <w:jc w:val="both"/>
        <w:outlineLvl w:val="1"/>
        <w:rPr>
          <w:rFonts w:hint="eastAsia" w:ascii="Times New Roman" w:hAnsi="Times New Roman" w:eastAsia="仿宋_GB2312" w:cs="Times New Roman"/>
          <w:bCs/>
          <w:kern w:val="0"/>
          <w:sz w:val="28"/>
          <w:szCs w:val="28"/>
          <w:lang w:val="en-US" w:eastAsia="zh-CN"/>
        </w:rPr>
      </w:pPr>
      <w:bookmarkStart w:id="662" w:name="_Toc16113"/>
      <w:bookmarkStart w:id="663" w:name="_Toc9529"/>
      <w:bookmarkStart w:id="664" w:name="_Toc9067"/>
      <w:bookmarkStart w:id="665" w:name="_Toc4824"/>
      <w:bookmarkStart w:id="666" w:name="_Toc10068"/>
      <w:bookmarkStart w:id="667" w:name="_Toc18933"/>
      <w:bookmarkStart w:id="668" w:name="_Toc2263"/>
      <w:r>
        <w:rPr>
          <w:rFonts w:hint="eastAsia" w:ascii="Times New Roman" w:hAnsi="Times New Roman" w:eastAsia="仿宋_GB2312" w:cs="Times New Roman"/>
          <w:bCs/>
          <w:kern w:val="0"/>
          <w:sz w:val="28"/>
          <w:szCs w:val="28"/>
          <w:lang w:val="en-US" w:eastAsia="zh-CN"/>
        </w:rPr>
        <w:t>经计算，高标准油茶新造地块需采伐各类林木蓄积3054m³，出材量2047m³，并对有利用价值的伐倒木进行打枝、造材，集材至指定地点，对疫木运到统一地点进行处置。</w:t>
      </w:r>
      <w:bookmarkEnd w:id="662"/>
      <w:bookmarkEnd w:id="663"/>
      <w:bookmarkEnd w:id="664"/>
      <w:bookmarkEnd w:id="665"/>
      <w:bookmarkEnd w:id="666"/>
      <w:bookmarkEnd w:id="667"/>
      <w:bookmarkEnd w:id="668"/>
    </w:p>
    <w:p w14:paraId="2530BB82">
      <w:pPr>
        <w:pageBreakBefore w:val="0"/>
        <w:widowControl w:val="0"/>
        <w:kinsoku/>
        <w:wordWrap/>
        <w:overflowPunct/>
        <w:topLinePunct w:val="0"/>
        <w:bidi w:val="0"/>
        <w:snapToGrid/>
        <w:spacing w:after="0" w:line="360" w:lineRule="auto"/>
        <w:ind w:firstLine="562" w:firstLineChars="200"/>
        <w:jc w:val="both"/>
        <w:outlineLvl w:val="0"/>
        <w:rPr>
          <w:rFonts w:hint="eastAsia" w:ascii="Times New Roman" w:hAnsi="Times New Roman" w:eastAsia="仿宋_GB2312" w:cs="Times New Roman"/>
          <w:b/>
          <w:bCs w:val="0"/>
          <w:kern w:val="0"/>
          <w:sz w:val="28"/>
          <w:szCs w:val="28"/>
          <w:lang w:val="en-US" w:eastAsia="zh-CN"/>
        </w:rPr>
      </w:pPr>
      <w:bookmarkStart w:id="669" w:name="_Toc4439"/>
      <w:bookmarkStart w:id="670" w:name="_Toc9903"/>
      <w:bookmarkStart w:id="671" w:name="_Toc9491"/>
      <w:bookmarkStart w:id="672" w:name="_Toc8864"/>
      <w:bookmarkStart w:id="673" w:name="_Toc13815"/>
      <w:bookmarkStart w:id="674" w:name="_Toc30115"/>
      <w:bookmarkStart w:id="675" w:name="_Toc18332"/>
      <w:r>
        <w:rPr>
          <w:rFonts w:hint="eastAsia" w:ascii="Times New Roman" w:hAnsi="Times New Roman" w:eastAsia="仿宋_GB2312" w:cs="Times New Roman"/>
          <w:b/>
          <w:bCs w:val="0"/>
          <w:kern w:val="0"/>
          <w:sz w:val="28"/>
          <w:szCs w:val="28"/>
          <w:lang w:val="en-US" w:eastAsia="zh-CN"/>
        </w:rPr>
        <w:t>②竹林采伐</w:t>
      </w:r>
      <w:bookmarkEnd w:id="669"/>
      <w:bookmarkEnd w:id="670"/>
      <w:bookmarkEnd w:id="671"/>
      <w:bookmarkEnd w:id="672"/>
      <w:bookmarkEnd w:id="673"/>
      <w:bookmarkEnd w:id="674"/>
      <w:bookmarkEnd w:id="675"/>
    </w:p>
    <w:p w14:paraId="3E78CA6F">
      <w:pPr>
        <w:pageBreakBefore w:val="0"/>
        <w:widowControl w:val="0"/>
        <w:kinsoku/>
        <w:wordWrap/>
        <w:overflowPunct/>
        <w:topLinePunct w:val="0"/>
        <w:bidi w:val="0"/>
        <w:snapToGrid/>
        <w:spacing w:after="0" w:line="360" w:lineRule="auto"/>
        <w:ind w:firstLine="560" w:firstLineChars="200"/>
        <w:jc w:val="both"/>
        <w:outlineLvl w:val="1"/>
        <w:rPr>
          <w:rFonts w:hint="default" w:ascii="Times New Roman" w:hAnsi="Times New Roman" w:eastAsia="仿宋_GB2312" w:cs="Times New Roman"/>
          <w:bCs/>
          <w:kern w:val="0"/>
          <w:sz w:val="28"/>
          <w:szCs w:val="28"/>
          <w:lang w:val="en-US" w:eastAsia="zh-CN"/>
        </w:rPr>
      </w:pPr>
      <w:bookmarkStart w:id="676" w:name="_Toc18552"/>
      <w:bookmarkStart w:id="677" w:name="_Toc23690"/>
      <w:bookmarkStart w:id="678" w:name="_Toc6910"/>
      <w:bookmarkStart w:id="679" w:name="_Toc26894"/>
      <w:bookmarkStart w:id="680" w:name="_Toc1595"/>
      <w:bookmarkStart w:id="681" w:name="_Toc13116"/>
      <w:bookmarkStart w:id="682" w:name="_Toc31662"/>
      <w:r>
        <w:rPr>
          <w:rFonts w:hint="eastAsia" w:ascii="Times New Roman" w:hAnsi="Times New Roman" w:eastAsia="仿宋_GB2312" w:cs="Times New Roman"/>
          <w:bCs/>
          <w:kern w:val="0"/>
          <w:sz w:val="28"/>
          <w:szCs w:val="28"/>
          <w:lang w:val="en-US" w:eastAsia="zh-CN"/>
        </w:rPr>
        <w:t>经计算，本涉及毛竹林采伐12.3亩，竹材19.8吨。竹子采伐按林地清理的竹薮处理，将伐倒的竹材运送至山下指定地点。</w:t>
      </w:r>
      <w:bookmarkEnd w:id="676"/>
      <w:bookmarkEnd w:id="677"/>
      <w:bookmarkEnd w:id="678"/>
      <w:bookmarkEnd w:id="679"/>
      <w:bookmarkEnd w:id="680"/>
      <w:bookmarkEnd w:id="681"/>
      <w:bookmarkEnd w:id="682"/>
    </w:p>
    <w:p w14:paraId="5B7C4643">
      <w:pPr>
        <w:pageBreakBefore w:val="0"/>
        <w:widowControl w:val="0"/>
        <w:kinsoku/>
        <w:wordWrap/>
        <w:overflowPunct/>
        <w:topLinePunct w:val="0"/>
        <w:bidi w:val="0"/>
        <w:snapToGrid/>
        <w:spacing w:after="0" w:line="360" w:lineRule="auto"/>
        <w:ind w:firstLine="562" w:firstLineChars="200"/>
        <w:jc w:val="both"/>
        <w:outlineLvl w:val="0"/>
        <w:rPr>
          <w:rFonts w:hint="eastAsia" w:ascii="Times New Roman" w:hAnsi="Times New Roman" w:eastAsia="仿宋_GB2312" w:cs="Times New Roman"/>
          <w:b/>
          <w:bCs w:val="0"/>
          <w:kern w:val="0"/>
          <w:sz w:val="28"/>
          <w:szCs w:val="28"/>
          <w:lang w:val="en-US" w:eastAsia="zh-CN"/>
        </w:rPr>
      </w:pPr>
      <w:bookmarkStart w:id="683" w:name="_Toc3961"/>
      <w:bookmarkStart w:id="684" w:name="_Toc8128"/>
      <w:bookmarkStart w:id="685" w:name="_Toc6536"/>
      <w:bookmarkStart w:id="686" w:name="_Toc31521"/>
      <w:bookmarkStart w:id="687" w:name="_Toc6972"/>
      <w:bookmarkStart w:id="688" w:name="_Toc8859"/>
      <w:bookmarkStart w:id="689" w:name="_Toc28806"/>
      <w:r>
        <w:rPr>
          <w:rFonts w:hint="eastAsia" w:ascii="Times New Roman" w:hAnsi="Times New Roman" w:eastAsia="仿宋_GB2312" w:cs="Times New Roman"/>
          <w:b/>
          <w:bCs w:val="0"/>
          <w:kern w:val="0"/>
          <w:sz w:val="28"/>
          <w:szCs w:val="28"/>
          <w:lang w:val="en-US" w:eastAsia="zh-CN"/>
        </w:rPr>
        <w:t>③采伐剩余物处理</w:t>
      </w:r>
      <w:bookmarkEnd w:id="683"/>
      <w:bookmarkEnd w:id="684"/>
      <w:bookmarkEnd w:id="685"/>
      <w:bookmarkEnd w:id="686"/>
      <w:bookmarkEnd w:id="687"/>
      <w:bookmarkEnd w:id="688"/>
      <w:bookmarkEnd w:id="689"/>
    </w:p>
    <w:p w14:paraId="02AACF5F">
      <w:pPr>
        <w:pageBreakBefore w:val="0"/>
        <w:widowControl w:val="0"/>
        <w:kinsoku/>
        <w:wordWrap/>
        <w:overflowPunct/>
        <w:topLinePunct w:val="0"/>
        <w:bidi w:val="0"/>
        <w:snapToGrid/>
        <w:spacing w:after="0" w:line="360" w:lineRule="auto"/>
        <w:ind w:firstLine="560" w:firstLineChars="200"/>
        <w:jc w:val="both"/>
        <w:outlineLvl w:val="1"/>
        <w:rPr>
          <w:rFonts w:hint="default" w:ascii="Times New Roman" w:hAnsi="Times New Roman" w:eastAsia="仿宋_GB2312" w:cs="Times New Roman"/>
          <w:bCs/>
          <w:kern w:val="0"/>
          <w:sz w:val="28"/>
          <w:szCs w:val="28"/>
          <w:lang w:val="en-US" w:eastAsia="zh-CN"/>
        </w:rPr>
      </w:pPr>
      <w:bookmarkStart w:id="690" w:name="_Toc3679"/>
      <w:bookmarkStart w:id="691" w:name="_Toc24177"/>
      <w:bookmarkStart w:id="692" w:name="_Toc17574"/>
      <w:bookmarkStart w:id="693" w:name="_Toc7574"/>
      <w:bookmarkStart w:id="694" w:name="_Toc20331"/>
      <w:bookmarkStart w:id="695" w:name="_Toc14783"/>
      <w:bookmarkStart w:id="696" w:name="_Toc24867"/>
      <w:r>
        <w:rPr>
          <w:rFonts w:hint="eastAsia" w:ascii="Times New Roman" w:hAnsi="Times New Roman" w:eastAsia="仿宋_GB2312" w:cs="Times New Roman"/>
          <w:bCs/>
          <w:kern w:val="0"/>
          <w:sz w:val="28"/>
          <w:szCs w:val="28"/>
          <w:lang w:val="en-US" w:eastAsia="zh-CN"/>
        </w:rPr>
        <w:t>经计算，乔木林采伐、竹类采伐704.9吨，需将采伐迹地上的采伐剩余物、地被物切割成长度1m以下小段，平铺于种植带两侧或林地内，针对疫木按疫木处置要求进行处理。</w:t>
      </w:r>
      <w:bookmarkEnd w:id="690"/>
      <w:bookmarkEnd w:id="691"/>
      <w:bookmarkEnd w:id="692"/>
      <w:bookmarkEnd w:id="693"/>
      <w:bookmarkEnd w:id="694"/>
      <w:bookmarkEnd w:id="695"/>
      <w:bookmarkEnd w:id="696"/>
    </w:p>
    <w:p w14:paraId="675B358A">
      <w:pPr>
        <w:pageBreakBefore w:val="0"/>
        <w:widowControl w:val="0"/>
        <w:kinsoku/>
        <w:wordWrap/>
        <w:overflowPunct/>
        <w:topLinePunct w:val="0"/>
        <w:bidi w:val="0"/>
        <w:snapToGrid/>
        <w:spacing w:after="0" w:line="360" w:lineRule="auto"/>
        <w:ind w:firstLine="562" w:firstLineChars="200"/>
        <w:jc w:val="both"/>
        <w:outlineLvl w:val="0"/>
        <w:rPr>
          <w:rFonts w:hint="eastAsia" w:ascii="Times New Roman" w:hAnsi="Times New Roman" w:eastAsia="仿宋_GB2312" w:cs="Times New Roman"/>
          <w:b/>
          <w:bCs w:val="0"/>
          <w:kern w:val="0"/>
          <w:sz w:val="28"/>
          <w:szCs w:val="28"/>
          <w:lang w:val="en-US" w:eastAsia="zh-CN"/>
        </w:rPr>
      </w:pPr>
      <w:bookmarkStart w:id="697" w:name="_Toc23079"/>
      <w:bookmarkStart w:id="698" w:name="_Toc1423"/>
      <w:bookmarkStart w:id="699" w:name="_Toc17849"/>
      <w:bookmarkStart w:id="700" w:name="_Toc9685"/>
      <w:bookmarkStart w:id="701" w:name="_Toc10331"/>
      <w:bookmarkStart w:id="702" w:name="_Toc7568"/>
      <w:bookmarkStart w:id="703" w:name="_Toc16998"/>
      <w:r>
        <w:rPr>
          <w:rFonts w:hint="eastAsia" w:ascii="Times New Roman" w:hAnsi="Times New Roman" w:eastAsia="仿宋_GB2312" w:cs="Times New Roman"/>
          <w:b/>
          <w:bCs w:val="0"/>
          <w:kern w:val="0"/>
          <w:sz w:val="28"/>
          <w:szCs w:val="28"/>
          <w:lang w:val="en-US" w:eastAsia="zh-CN"/>
        </w:rPr>
        <w:t>④林地清理</w:t>
      </w:r>
      <w:bookmarkEnd w:id="697"/>
      <w:bookmarkEnd w:id="698"/>
      <w:bookmarkEnd w:id="699"/>
      <w:bookmarkEnd w:id="700"/>
      <w:bookmarkEnd w:id="701"/>
      <w:bookmarkEnd w:id="702"/>
      <w:bookmarkEnd w:id="703"/>
    </w:p>
    <w:p w14:paraId="3CB05416">
      <w:pPr>
        <w:pageBreakBefore w:val="0"/>
        <w:widowControl w:val="0"/>
        <w:kinsoku/>
        <w:wordWrap/>
        <w:overflowPunct/>
        <w:topLinePunct w:val="0"/>
        <w:bidi w:val="0"/>
        <w:snapToGrid/>
        <w:spacing w:after="0" w:line="360" w:lineRule="auto"/>
        <w:ind w:firstLine="560" w:firstLineChars="200"/>
        <w:jc w:val="both"/>
        <w:outlineLvl w:val="1"/>
        <w:rPr>
          <w:rFonts w:hint="eastAsia" w:ascii="Times New Roman" w:hAnsi="Times New Roman" w:eastAsia="仿宋_GB2312" w:cs="Times New Roman"/>
          <w:bCs/>
          <w:kern w:val="0"/>
          <w:sz w:val="28"/>
          <w:szCs w:val="28"/>
          <w:lang w:val="en-US" w:eastAsia="zh-CN"/>
        </w:rPr>
      </w:pPr>
      <w:bookmarkStart w:id="704" w:name="_Toc2258"/>
      <w:bookmarkStart w:id="705" w:name="_Toc23771"/>
      <w:bookmarkStart w:id="706" w:name="_Toc25250"/>
      <w:bookmarkStart w:id="707" w:name="_Toc4420"/>
      <w:bookmarkStart w:id="708" w:name="_Toc5751"/>
      <w:bookmarkStart w:id="709" w:name="_Toc1493"/>
      <w:bookmarkStart w:id="710" w:name="_Toc6316"/>
      <w:r>
        <w:rPr>
          <w:rFonts w:hint="eastAsia" w:ascii="Times New Roman" w:hAnsi="Times New Roman" w:eastAsia="仿宋_GB2312" w:cs="Times New Roman"/>
          <w:bCs/>
          <w:kern w:val="0"/>
          <w:sz w:val="28"/>
          <w:szCs w:val="28"/>
          <w:lang w:val="en-US" w:eastAsia="zh-CN"/>
        </w:rPr>
        <w:t>项目林地清理774.9亩（包括竹薮面积12.3亩、高灌面积24.5亩、草灌面积738.1亩），带状整地地块保留带状整地的堤台坡面植被，其余全林地劈、割劈除非目的乔木、杂灌、草本、藤本，留茬高度≤10cm；将清理出的剩余物归集至种植带两侧。</w:t>
      </w:r>
      <w:bookmarkEnd w:id="704"/>
      <w:bookmarkEnd w:id="705"/>
      <w:bookmarkEnd w:id="706"/>
      <w:bookmarkEnd w:id="707"/>
      <w:bookmarkEnd w:id="708"/>
      <w:bookmarkEnd w:id="709"/>
      <w:bookmarkEnd w:id="710"/>
    </w:p>
    <w:p w14:paraId="6054B209">
      <w:pPr>
        <w:pageBreakBefore w:val="0"/>
        <w:widowControl w:val="0"/>
        <w:kinsoku/>
        <w:wordWrap/>
        <w:overflowPunct/>
        <w:topLinePunct w:val="0"/>
        <w:bidi w:val="0"/>
        <w:snapToGrid/>
        <w:spacing w:after="0" w:line="360" w:lineRule="auto"/>
        <w:ind w:firstLine="562" w:firstLineChars="200"/>
        <w:jc w:val="both"/>
        <w:outlineLvl w:val="0"/>
        <w:rPr>
          <w:rFonts w:hint="eastAsia" w:ascii="Times New Roman" w:hAnsi="Times New Roman" w:eastAsia="仿宋_GB2312" w:cs="Times New Roman"/>
          <w:b/>
          <w:bCs w:val="0"/>
          <w:kern w:val="0"/>
          <w:sz w:val="28"/>
          <w:szCs w:val="28"/>
          <w:lang w:val="en-US" w:eastAsia="zh-CN"/>
        </w:rPr>
      </w:pPr>
      <w:bookmarkStart w:id="711" w:name="_Toc25008"/>
      <w:bookmarkStart w:id="712" w:name="_Toc11937"/>
      <w:bookmarkStart w:id="713" w:name="_Toc25959"/>
      <w:bookmarkStart w:id="714" w:name="_Toc28697"/>
      <w:bookmarkStart w:id="715" w:name="_Toc27722"/>
      <w:bookmarkStart w:id="716" w:name="_Toc19374"/>
      <w:bookmarkStart w:id="717" w:name="_Toc29882"/>
      <w:r>
        <w:rPr>
          <w:rFonts w:hint="eastAsia" w:ascii="Times New Roman" w:hAnsi="Times New Roman" w:eastAsia="仿宋_GB2312" w:cs="Times New Roman"/>
          <w:b/>
          <w:bCs w:val="0"/>
          <w:kern w:val="0"/>
          <w:sz w:val="28"/>
          <w:szCs w:val="28"/>
          <w:lang w:val="en-US" w:eastAsia="zh-CN"/>
        </w:rPr>
        <w:t>⑤带状整地</w:t>
      </w:r>
      <w:bookmarkEnd w:id="711"/>
      <w:bookmarkEnd w:id="712"/>
      <w:bookmarkEnd w:id="713"/>
      <w:bookmarkEnd w:id="714"/>
      <w:bookmarkEnd w:id="715"/>
      <w:bookmarkEnd w:id="716"/>
      <w:bookmarkEnd w:id="717"/>
    </w:p>
    <w:p w14:paraId="181C70D6">
      <w:pPr>
        <w:pageBreakBefore w:val="0"/>
        <w:widowControl w:val="0"/>
        <w:kinsoku/>
        <w:wordWrap/>
        <w:overflowPunct/>
        <w:topLinePunct w:val="0"/>
        <w:bidi w:val="0"/>
        <w:snapToGrid/>
        <w:spacing w:after="0" w:line="360" w:lineRule="auto"/>
        <w:ind w:firstLine="560" w:firstLineChars="200"/>
        <w:jc w:val="both"/>
        <w:outlineLvl w:val="1"/>
        <w:rPr>
          <w:rFonts w:hint="default" w:ascii="Times New Roman" w:hAnsi="Times New Roman" w:eastAsia="仿宋_GB2312" w:cs="Times New Roman"/>
          <w:bCs/>
          <w:kern w:val="0"/>
          <w:sz w:val="28"/>
          <w:szCs w:val="28"/>
          <w:lang w:val="en-US" w:eastAsia="zh-CN"/>
        </w:rPr>
      </w:pPr>
      <w:bookmarkStart w:id="718" w:name="_Toc30893"/>
      <w:bookmarkStart w:id="719" w:name="_Toc12319"/>
      <w:bookmarkStart w:id="720" w:name="_Toc7057"/>
      <w:bookmarkStart w:id="721" w:name="_Toc26315"/>
      <w:bookmarkStart w:id="722" w:name="_Toc13056"/>
      <w:bookmarkStart w:id="723" w:name="_Toc27088"/>
      <w:bookmarkStart w:id="724" w:name="_Toc17447"/>
      <w:r>
        <w:rPr>
          <w:rFonts w:hint="eastAsia" w:ascii="Times New Roman" w:hAnsi="Times New Roman" w:eastAsia="仿宋_GB2312" w:cs="Times New Roman"/>
          <w:bCs/>
          <w:kern w:val="0"/>
          <w:sz w:val="28"/>
          <w:szCs w:val="28"/>
          <w:lang w:val="en-US" w:eastAsia="zh-CN"/>
        </w:rPr>
        <w:t>项目带状翻耕土壤，清理出竹鞭、粗壮灌草藤根系、大石块，翻耕深度≥30cm。高标准油茶新造全部采用带状整地，整地面积共计477亩。</w:t>
      </w:r>
      <w:bookmarkEnd w:id="718"/>
      <w:bookmarkEnd w:id="719"/>
      <w:bookmarkEnd w:id="720"/>
      <w:bookmarkEnd w:id="721"/>
      <w:bookmarkEnd w:id="722"/>
      <w:bookmarkEnd w:id="723"/>
      <w:bookmarkEnd w:id="724"/>
    </w:p>
    <w:p w14:paraId="0F171DC9">
      <w:pPr>
        <w:pageBreakBefore w:val="0"/>
        <w:widowControl w:val="0"/>
        <w:kinsoku/>
        <w:wordWrap/>
        <w:overflowPunct/>
        <w:topLinePunct w:val="0"/>
        <w:bidi w:val="0"/>
        <w:snapToGrid/>
        <w:spacing w:after="0" w:line="360" w:lineRule="auto"/>
        <w:ind w:firstLine="562" w:firstLineChars="200"/>
        <w:jc w:val="both"/>
        <w:outlineLvl w:val="0"/>
        <w:rPr>
          <w:rFonts w:hint="default" w:ascii="Times New Roman" w:hAnsi="Times New Roman" w:eastAsia="仿宋_GB2312" w:cs="Times New Roman"/>
          <w:b/>
          <w:bCs w:val="0"/>
          <w:kern w:val="0"/>
          <w:sz w:val="28"/>
          <w:szCs w:val="28"/>
          <w:lang w:val="en-US" w:eastAsia="zh-CN"/>
        </w:rPr>
      </w:pPr>
      <w:bookmarkStart w:id="725" w:name="_Toc31615"/>
      <w:bookmarkStart w:id="726" w:name="_Toc26919"/>
      <w:bookmarkStart w:id="727" w:name="_Toc10003"/>
      <w:bookmarkStart w:id="728" w:name="_Toc5446"/>
      <w:bookmarkStart w:id="729" w:name="_Toc17528"/>
      <w:bookmarkStart w:id="730" w:name="_Toc24108"/>
      <w:bookmarkStart w:id="731" w:name="_Toc7916"/>
      <w:r>
        <w:rPr>
          <w:rFonts w:hint="eastAsia" w:ascii="Times New Roman" w:hAnsi="Times New Roman" w:eastAsia="仿宋_GB2312" w:cs="Times New Roman"/>
          <w:b/>
          <w:bCs w:val="0"/>
          <w:kern w:val="0"/>
          <w:sz w:val="28"/>
          <w:szCs w:val="28"/>
          <w:lang w:val="en-US" w:eastAsia="zh-CN"/>
        </w:rPr>
        <w:t>⑥块状整地</w:t>
      </w:r>
      <w:bookmarkEnd w:id="725"/>
      <w:bookmarkEnd w:id="726"/>
      <w:bookmarkEnd w:id="727"/>
      <w:bookmarkEnd w:id="728"/>
      <w:bookmarkEnd w:id="729"/>
      <w:bookmarkEnd w:id="730"/>
      <w:bookmarkEnd w:id="731"/>
    </w:p>
    <w:p w14:paraId="0A3E6806">
      <w:pPr>
        <w:pageBreakBefore w:val="0"/>
        <w:widowControl w:val="0"/>
        <w:kinsoku/>
        <w:wordWrap/>
        <w:overflowPunct/>
        <w:topLinePunct w:val="0"/>
        <w:bidi w:val="0"/>
        <w:snapToGrid/>
        <w:spacing w:after="0" w:line="360" w:lineRule="auto"/>
        <w:ind w:firstLine="560" w:firstLineChars="200"/>
        <w:jc w:val="both"/>
        <w:outlineLvl w:val="1"/>
        <w:rPr>
          <w:rFonts w:hint="default" w:ascii="Times New Roman" w:hAnsi="Times New Roman" w:eastAsia="仿宋_GB2312" w:cs="Times New Roman"/>
          <w:bCs/>
          <w:kern w:val="0"/>
          <w:sz w:val="28"/>
          <w:szCs w:val="28"/>
          <w:lang w:val="en-US" w:eastAsia="zh-CN"/>
        </w:rPr>
      </w:pPr>
      <w:bookmarkStart w:id="732" w:name="_Toc3526"/>
      <w:bookmarkStart w:id="733" w:name="_Toc10920"/>
      <w:bookmarkStart w:id="734" w:name="_Toc6968"/>
      <w:bookmarkStart w:id="735" w:name="_Toc28754"/>
      <w:bookmarkStart w:id="736" w:name="_Toc27114"/>
      <w:bookmarkStart w:id="737" w:name="_Toc2750"/>
      <w:bookmarkStart w:id="738" w:name="_Toc26867"/>
      <w:r>
        <w:rPr>
          <w:rFonts w:hint="eastAsia" w:ascii="Times New Roman" w:hAnsi="Times New Roman" w:eastAsia="仿宋_GB2312" w:cs="Times New Roman"/>
          <w:bCs/>
          <w:kern w:val="0"/>
          <w:sz w:val="28"/>
          <w:szCs w:val="28"/>
          <w:lang w:val="en-US" w:eastAsia="zh-CN"/>
        </w:rPr>
        <w:t>经带状整地后的造林小班内挖穴7784块。</w:t>
      </w:r>
      <w:bookmarkEnd w:id="732"/>
      <w:bookmarkEnd w:id="733"/>
      <w:bookmarkEnd w:id="734"/>
      <w:bookmarkEnd w:id="735"/>
      <w:bookmarkEnd w:id="736"/>
      <w:bookmarkEnd w:id="737"/>
      <w:bookmarkEnd w:id="738"/>
    </w:p>
    <w:p w14:paraId="6EF18775">
      <w:pPr>
        <w:pageBreakBefore w:val="0"/>
        <w:widowControl w:val="0"/>
        <w:kinsoku/>
        <w:wordWrap/>
        <w:overflowPunct/>
        <w:topLinePunct w:val="0"/>
        <w:bidi w:val="0"/>
        <w:snapToGrid/>
        <w:spacing w:after="0" w:line="360" w:lineRule="auto"/>
        <w:ind w:firstLine="562" w:firstLineChars="200"/>
        <w:jc w:val="both"/>
        <w:outlineLvl w:val="0"/>
        <w:rPr>
          <w:rFonts w:hint="eastAsia" w:ascii="Times New Roman" w:hAnsi="Times New Roman" w:eastAsia="仿宋_GB2312" w:cs="Times New Roman"/>
          <w:b/>
          <w:bCs w:val="0"/>
          <w:kern w:val="0"/>
          <w:sz w:val="28"/>
          <w:szCs w:val="28"/>
          <w:lang w:val="en-US" w:eastAsia="zh-CN"/>
        </w:rPr>
      </w:pPr>
      <w:bookmarkStart w:id="739" w:name="_Toc12273"/>
      <w:bookmarkStart w:id="740" w:name="_Toc13816"/>
      <w:bookmarkStart w:id="741" w:name="_Toc7178"/>
      <w:bookmarkStart w:id="742" w:name="_Toc19201"/>
      <w:bookmarkStart w:id="743" w:name="_Toc8765"/>
      <w:bookmarkStart w:id="744" w:name="_Toc3088"/>
      <w:bookmarkStart w:id="745" w:name="_Toc14295"/>
      <w:r>
        <w:rPr>
          <w:rFonts w:hint="eastAsia" w:ascii="Times New Roman" w:hAnsi="Times New Roman" w:eastAsia="仿宋_GB2312" w:cs="Times New Roman"/>
          <w:b/>
          <w:bCs w:val="0"/>
          <w:kern w:val="0"/>
          <w:sz w:val="28"/>
          <w:szCs w:val="28"/>
          <w:lang w:val="en-US" w:eastAsia="zh-CN"/>
        </w:rPr>
        <w:t>⑦整地后挖穴</w:t>
      </w:r>
      <w:bookmarkEnd w:id="739"/>
      <w:bookmarkEnd w:id="740"/>
      <w:bookmarkEnd w:id="741"/>
      <w:bookmarkEnd w:id="742"/>
      <w:bookmarkEnd w:id="743"/>
      <w:bookmarkEnd w:id="744"/>
      <w:bookmarkEnd w:id="745"/>
    </w:p>
    <w:p w14:paraId="730AE05E">
      <w:pPr>
        <w:pageBreakBefore w:val="0"/>
        <w:widowControl w:val="0"/>
        <w:kinsoku/>
        <w:wordWrap/>
        <w:overflowPunct/>
        <w:topLinePunct w:val="0"/>
        <w:bidi w:val="0"/>
        <w:snapToGrid/>
        <w:spacing w:after="0" w:line="360" w:lineRule="auto"/>
        <w:ind w:firstLine="560" w:firstLineChars="200"/>
        <w:jc w:val="both"/>
        <w:outlineLvl w:val="1"/>
        <w:rPr>
          <w:rFonts w:hint="default" w:ascii="Times New Roman" w:hAnsi="Times New Roman" w:eastAsia="仿宋_GB2312" w:cs="Times New Roman"/>
          <w:bCs/>
          <w:kern w:val="0"/>
          <w:sz w:val="28"/>
          <w:szCs w:val="28"/>
          <w:lang w:val="en-US" w:eastAsia="zh-CN"/>
        </w:rPr>
      </w:pPr>
      <w:bookmarkStart w:id="746" w:name="_Toc12265"/>
      <w:bookmarkStart w:id="747" w:name="_Toc4577"/>
      <w:bookmarkStart w:id="748" w:name="_Toc10414"/>
      <w:bookmarkStart w:id="749" w:name="_Toc29759"/>
      <w:bookmarkStart w:id="750" w:name="_Toc22752"/>
      <w:bookmarkStart w:id="751" w:name="_Toc2122"/>
      <w:bookmarkStart w:id="752" w:name="_Toc8865"/>
      <w:r>
        <w:rPr>
          <w:rFonts w:hint="eastAsia" w:ascii="Times New Roman" w:hAnsi="Times New Roman" w:eastAsia="仿宋_GB2312" w:cs="Times New Roman"/>
          <w:bCs/>
          <w:kern w:val="0"/>
          <w:sz w:val="28"/>
          <w:szCs w:val="28"/>
          <w:lang w:val="en-US" w:eastAsia="zh-CN"/>
        </w:rPr>
        <w:t>经带状整地后的造林小班内挖穴43395穴。</w:t>
      </w:r>
      <w:bookmarkEnd w:id="746"/>
      <w:bookmarkEnd w:id="747"/>
      <w:bookmarkEnd w:id="748"/>
      <w:bookmarkEnd w:id="749"/>
      <w:bookmarkEnd w:id="750"/>
      <w:bookmarkEnd w:id="751"/>
      <w:bookmarkEnd w:id="752"/>
    </w:p>
    <w:p w14:paraId="291C70D5">
      <w:pPr>
        <w:pageBreakBefore w:val="0"/>
        <w:widowControl w:val="0"/>
        <w:kinsoku/>
        <w:wordWrap/>
        <w:overflowPunct/>
        <w:topLinePunct w:val="0"/>
        <w:bidi w:val="0"/>
        <w:snapToGrid/>
        <w:spacing w:after="0" w:line="360" w:lineRule="auto"/>
        <w:ind w:firstLine="562" w:firstLineChars="200"/>
        <w:jc w:val="both"/>
        <w:outlineLvl w:val="0"/>
        <w:rPr>
          <w:rFonts w:hint="eastAsia" w:ascii="Times New Roman" w:hAnsi="Times New Roman" w:eastAsia="仿宋_GB2312" w:cs="Times New Roman"/>
          <w:b/>
          <w:bCs w:val="0"/>
          <w:kern w:val="0"/>
          <w:sz w:val="28"/>
          <w:szCs w:val="28"/>
          <w:lang w:val="en-US" w:eastAsia="zh-CN"/>
        </w:rPr>
      </w:pPr>
      <w:bookmarkStart w:id="753" w:name="_Toc6971"/>
      <w:bookmarkStart w:id="754" w:name="_Toc25582"/>
      <w:bookmarkStart w:id="755" w:name="_Toc16059"/>
      <w:bookmarkStart w:id="756" w:name="_Toc25000"/>
      <w:bookmarkStart w:id="757" w:name="_Toc4155"/>
      <w:bookmarkStart w:id="758" w:name="_Toc8951"/>
      <w:bookmarkStart w:id="759" w:name="_Toc21690"/>
      <w:r>
        <w:rPr>
          <w:rFonts w:hint="eastAsia" w:ascii="Times New Roman" w:hAnsi="Times New Roman" w:eastAsia="仿宋_GB2312" w:cs="Times New Roman"/>
          <w:b/>
          <w:bCs w:val="0"/>
          <w:kern w:val="0"/>
          <w:sz w:val="28"/>
          <w:szCs w:val="28"/>
          <w:lang w:val="en-US" w:eastAsia="zh-CN"/>
        </w:rPr>
        <w:t>⑧施基肥</w:t>
      </w:r>
      <w:bookmarkEnd w:id="753"/>
      <w:bookmarkEnd w:id="754"/>
      <w:bookmarkEnd w:id="755"/>
      <w:bookmarkEnd w:id="756"/>
      <w:bookmarkEnd w:id="757"/>
      <w:bookmarkEnd w:id="758"/>
      <w:bookmarkEnd w:id="759"/>
    </w:p>
    <w:p w14:paraId="7A92C4F1">
      <w:pPr>
        <w:pageBreakBefore w:val="0"/>
        <w:widowControl w:val="0"/>
        <w:kinsoku/>
        <w:wordWrap/>
        <w:overflowPunct/>
        <w:topLinePunct w:val="0"/>
        <w:bidi w:val="0"/>
        <w:snapToGrid/>
        <w:spacing w:after="0" w:line="360" w:lineRule="auto"/>
        <w:ind w:firstLine="560" w:firstLineChars="200"/>
        <w:jc w:val="both"/>
        <w:outlineLvl w:val="1"/>
        <w:rPr>
          <w:rFonts w:hint="default" w:ascii="Times New Roman" w:hAnsi="Times New Roman" w:eastAsia="仿宋_GB2312" w:cs="Times New Roman"/>
          <w:bCs/>
          <w:kern w:val="0"/>
          <w:sz w:val="28"/>
          <w:szCs w:val="28"/>
          <w:lang w:val="en-US" w:eastAsia="zh-CN"/>
        </w:rPr>
      </w:pPr>
      <w:bookmarkStart w:id="760" w:name="_Toc19633"/>
      <w:bookmarkStart w:id="761" w:name="_Toc32204"/>
      <w:bookmarkStart w:id="762" w:name="_Toc18751"/>
      <w:bookmarkStart w:id="763" w:name="_Toc10107"/>
      <w:bookmarkStart w:id="764" w:name="_Toc6656"/>
      <w:bookmarkStart w:id="765" w:name="_Toc25670"/>
      <w:bookmarkStart w:id="766" w:name="_Toc26702"/>
      <w:r>
        <w:rPr>
          <w:rFonts w:hint="eastAsia" w:ascii="Times New Roman" w:hAnsi="Times New Roman" w:eastAsia="仿宋_GB2312" w:cs="Times New Roman"/>
          <w:bCs/>
          <w:kern w:val="0"/>
          <w:sz w:val="28"/>
          <w:szCs w:val="28"/>
          <w:lang w:val="en-US" w:eastAsia="zh-CN"/>
        </w:rPr>
        <w:t>项目经济林造林，将基肥从山下搬运至作业区，作业区内肥料搬运，基肥与少量土壤拌匀后置于穴底，覆薄土。基肥为有机肥和复合肥，共计238.6692吨。</w:t>
      </w:r>
      <w:bookmarkEnd w:id="760"/>
      <w:bookmarkEnd w:id="761"/>
      <w:bookmarkEnd w:id="762"/>
      <w:bookmarkEnd w:id="763"/>
      <w:bookmarkEnd w:id="764"/>
      <w:bookmarkEnd w:id="765"/>
      <w:bookmarkEnd w:id="766"/>
    </w:p>
    <w:p w14:paraId="023C24A1">
      <w:pPr>
        <w:pageBreakBefore w:val="0"/>
        <w:widowControl w:val="0"/>
        <w:kinsoku/>
        <w:wordWrap/>
        <w:overflowPunct/>
        <w:topLinePunct w:val="0"/>
        <w:bidi w:val="0"/>
        <w:snapToGrid/>
        <w:spacing w:after="0" w:line="360" w:lineRule="auto"/>
        <w:ind w:firstLine="562" w:firstLineChars="200"/>
        <w:jc w:val="both"/>
        <w:outlineLvl w:val="0"/>
        <w:rPr>
          <w:rFonts w:hint="eastAsia" w:ascii="Times New Roman" w:hAnsi="Times New Roman" w:eastAsia="仿宋_GB2312" w:cs="Times New Roman"/>
          <w:b/>
          <w:bCs w:val="0"/>
          <w:kern w:val="0"/>
          <w:sz w:val="28"/>
          <w:szCs w:val="28"/>
          <w:lang w:val="en-US" w:eastAsia="zh-CN"/>
        </w:rPr>
      </w:pPr>
      <w:bookmarkStart w:id="767" w:name="_Toc9876"/>
      <w:bookmarkStart w:id="768" w:name="_Toc20640"/>
      <w:bookmarkStart w:id="769" w:name="_Toc18483"/>
      <w:bookmarkStart w:id="770" w:name="_Toc451"/>
      <w:bookmarkStart w:id="771" w:name="_Toc31715"/>
      <w:bookmarkStart w:id="772" w:name="_Toc9672"/>
      <w:bookmarkStart w:id="773" w:name="_Toc27618"/>
      <w:r>
        <w:rPr>
          <w:rFonts w:hint="eastAsia" w:ascii="Times New Roman" w:hAnsi="Times New Roman" w:eastAsia="仿宋_GB2312" w:cs="Times New Roman"/>
          <w:b/>
          <w:bCs w:val="0"/>
          <w:kern w:val="0"/>
          <w:sz w:val="28"/>
          <w:szCs w:val="28"/>
          <w:lang w:val="en-US" w:eastAsia="zh-CN"/>
        </w:rPr>
        <w:t>⑨经济林苗木定植</w:t>
      </w:r>
      <w:bookmarkEnd w:id="767"/>
      <w:bookmarkEnd w:id="768"/>
      <w:bookmarkEnd w:id="769"/>
      <w:bookmarkEnd w:id="770"/>
      <w:bookmarkEnd w:id="771"/>
      <w:bookmarkEnd w:id="772"/>
      <w:bookmarkEnd w:id="773"/>
    </w:p>
    <w:p w14:paraId="15575161">
      <w:pPr>
        <w:pageBreakBefore w:val="0"/>
        <w:widowControl w:val="0"/>
        <w:kinsoku/>
        <w:wordWrap/>
        <w:overflowPunct/>
        <w:topLinePunct w:val="0"/>
        <w:bidi w:val="0"/>
        <w:snapToGrid/>
        <w:spacing w:after="0" w:line="360" w:lineRule="auto"/>
        <w:ind w:firstLine="560" w:firstLineChars="200"/>
        <w:jc w:val="both"/>
        <w:outlineLvl w:val="1"/>
        <w:rPr>
          <w:rFonts w:hint="default" w:ascii="Times New Roman" w:hAnsi="Times New Roman" w:eastAsia="仿宋_GB2312" w:cs="Times New Roman"/>
          <w:bCs/>
          <w:kern w:val="0"/>
          <w:sz w:val="28"/>
          <w:szCs w:val="28"/>
          <w:lang w:val="en-US" w:eastAsia="zh-CN"/>
        </w:rPr>
      </w:pPr>
      <w:bookmarkStart w:id="774" w:name="_Toc4121"/>
      <w:bookmarkStart w:id="775" w:name="_Toc11521"/>
      <w:bookmarkStart w:id="776" w:name="_Toc28564"/>
      <w:bookmarkStart w:id="777" w:name="_Toc17593"/>
      <w:bookmarkStart w:id="778" w:name="_Toc29221"/>
      <w:bookmarkStart w:id="779" w:name="_Toc32507"/>
      <w:bookmarkStart w:id="780" w:name="_Toc27404"/>
      <w:r>
        <w:rPr>
          <w:rFonts w:hint="eastAsia" w:ascii="Times New Roman" w:hAnsi="Times New Roman" w:eastAsia="仿宋_GB2312" w:cs="Times New Roman"/>
          <w:bCs/>
          <w:kern w:val="0"/>
          <w:sz w:val="28"/>
          <w:szCs w:val="28"/>
          <w:lang w:val="en-US" w:eastAsia="zh-CN"/>
        </w:rPr>
        <w:t>将苗木从山下搬运至作业区，修剪、作业区内搬运，大穴回土，苗木定植，基部培土成丘、浇定根水。项目共定植油茶苗木43395株。</w:t>
      </w:r>
      <w:bookmarkEnd w:id="774"/>
      <w:bookmarkEnd w:id="775"/>
      <w:bookmarkEnd w:id="776"/>
      <w:bookmarkEnd w:id="777"/>
      <w:bookmarkEnd w:id="778"/>
      <w:bookmarkEnd w:id="779"/>
      <w:bookmarkEnd w:id="780"/>
    </w:p>
    <w:p w14:paraId="2EC53BEA">
      <w:pPr>
        <w:pageBreakBefore w:val="0"/>
        <w:widowControl w:val="0"/>
        <w:kinsoku/>
        <w:wordWrap/>
        <w:overflowPunct/>
        <w:topLinePunct w:val="0"/>
        <w:bidi w:val="0"/>
        <w:snapToGrid/>
        <w:spacing w:after="0" w:line="360" w:lineRule="auto"/>
        <w:ind w:firstLine="562" w:firstLineChars="200"/>
        <w:jc w:val="both"/>
        <w:outlineLvl w:val="0"/>
        <w:rPr>
          <w:rFonts w:hint="eastAsia" w:ascii="Times New Roman" w:hAnsi="Times New Roman" w:eastAsia="仿宋_GB2312" w:cs="Times New Roman"/>
          <w:b/>
          <w:bCs w:val="0"/>
          <w:kern w:val="0"/>
          <w:sz w:val="28"/>
          <w:szCs w:val="28"/>
          <w:lang w:val="en-US" w:eastAsia="zh-CN"/>
        </w:rPr>
      </w:pPr>
      <w:bookmarkStart w:id="781" w:name="_Toc16038"/>
      <w:bookmarkStart w:id="782" w:name="_Toc11047"/>
      <w:bookmarkStart w:id="783" w:name="_Toc3062"/>
      <w:bookmarkStart w:id="784" w:name="_Toc5185"/>
      <w:bookmarkStart w:id="785" w:name="_Toc12434"/>
      <w:bookmarkStart w:id="786" w:name="_Toc467"/>
      <w:bookmarkStart w:id="787" w:name="_Toc3872"/>
      <w:bookmarkStart w:id="788" w:name="_Toc15599"/>
      <w:r>
        <w:rPr>
          <w:rFonts w:hint="eastAsia" w:ascii="Times New Roman" w:hAnsi="Times New Roman" w:eastAsia="仿宋_GB2312" w:cs="Times New Roman"/>
          <w:b/>
          <w:bCs w:val="0"/>
          <w:kern w:val="0"/>
          <w:sz w:val="28"/>
          <w:szCs w:val="28"/>
          <w:lang w:val="en-US" w:eastAsia="zh-CN"/>
        </w:rPr>
        <w:t>⑩</w:t>
      </w:r>
      <w:bookmarkEnd w:id="781"/>
      <w:bookmarkEnd w:id="782"/>
      <w:bookmarkEnd w:id="783"/>
      <w:bookmarkEnd w:id="784"/>
      <w:bookmarkEnd w:id="785"/>
      <w:bookmarkEnd w:id="786"/>
      <w:bookmarkEnd w:id="787"/>
      <w:bookmarkStart w:id="789" w:name="_Toc10503"/>
      <w:bookmarkStart w:id="790" w:name="_Toc29007"/>
      <w:bookmarkStart w:id="791" w:name="_Toc25803"/>
      <w:bookmarkStart w:id="792" w:name="_Toc5039"/>
      <w:bookmarkStart w:id="793" w:name="_Toc14925"/>
      <w:bookmarkStart w:id="794" w:name="_Toc26221"/>
      <w:r>
        <w:rPr>
          <w:rFonts w:hint="eastAsia" w:ascii="Times New Roman" w:hAnsi="Times New Roman" w:eastAsia="仿宋_GB2312" w:cs="Times New Roman"/>
          <w:b/>
          <w:bCs w:val="0"/>
          <w:kern w:val="0"/>
          <w:sz w:val="28"/>
          <w:szCs w:val="28"/>
          <w:lang w:val="en-US" w:eastAsia="zh-CN"/>
        </w:rPr>
        <w:t>经济林苗木抚育</w:t>
      </w:r>
      <w:bookmarkEnd w:id="788"/>
      <w:bookmarkEnd w:id="789"/>
      <w:bookmarkEnd w:id="790"/>
      <w:bookmarkEnd w:id="791"/>
      <w:bookmarkEnd w:id="792"/>
      <w:bookmarkEnd w:id="793"/>
      <w:bookmarkEnd w:id="794"/>
    </w:p>
    <w:p w14:paraId="09FFD67C">
      <w:pPr>
        <w:pageBreakBefore w:val="0"/>
        <w:widowControl w:val="0"/>
        <w:kinsoku/>
        <w:wordWrap/>
        <w:overflowPunct/>
        <w:topLinePunct w:val="0"/>
        <w:bidi w:val="0"/>
        <w:snapToGrid/>
        <w:spacing w:after="0" w:line="360" w:lineRule="auto"/>
        <w:ind w:firstLine="560" w:firstLineChars="200"/>
        <w:jc w:val="both"/>
        <w:outlineLvl w:val="1"/>
        <w:rPr>
          <w:rFonts w:hint="eastAsia" w:ascii="Times New Roman" w:hAnsi="Times New Roman" w:eastAsia="仿宋_GB2312" w:cs="Times New Roman"/>
          <w:bCs/>
          <w:kern w:val="0"/>
          <w:sz w:val="28"/>
          <w:szCs w:val="28"/>
          <w:lang w:val="en-US" w:eastAsia="zh-CN"/>
        </w:rPr>
      </w:pPr>
      <w:bookmarkStart w:id="795" w:name="_Toc2590"/>
      <w:bookmarkStart w:id="796" w:name="_Toc31714"/>
      <w:bookmarkStart w:id="797" w:name="_Toc16505"/>
      <w:bookmarkStart w:id="798" w:name="_Toc12312"/>
      <w:bookmarkStart w:id="799" w:name="_Toc15964"/>
      <w:bookmarkStart w:id="800" w:name="_Toc15"/>
      <w:bookmarkStart w:id="801" w:name="_Toc32403"/>
      <w:r>
        <w:rPr>
          <w:rFonts w:hint="eastAsia" w:ascii="Times New Roman" w:hAnsi="Times New Roman" w:eastAsia="仿宋_GB2312" w:cs="Times New Roman"/>
          <w:bCs/>
          <w:kern w:val="0"/>
          <w:sz w:val="28"/>
          <w:szCs w:val="28"/>
          <w:lang w:val="en-US" w:eastAsia="zh-CN"/>
        </w:rPr>
        <w:t>抚育株数43395株，新造林后连续抚育4年。块状松土（以栽植苗木为中心，半径1.0m），深度5-10m；苗木基部培蔸及人工水平带连通。</w:t>
      </w:r>
      <w:bookmarkEnd w:id="795"/>
      <w:bookmarkEnd w:id="796"/>
      <w:bookmarkEnd w:id="797"/>
      <w:bookmarkEnd w:id="798"/>
      <w:bookmarkEnd w:id="799"/>
      <w:bookmarkEnd w:id="800"/>
      <w:bookmarkEnd w:id="801"/>
    </w:p>
    <w:p w14:paraId="640C6E23">
      <w:pPr>
        <w:pageBreakBefore w:val="0"/>
        <w:widowControl w:val="0"/>
        <w:kinsoku/>
        <w:wordWrap/>
        <w:overflowPunct/>
        <w:topLinePunct w:val="0"/>
        <w:bidi w:val="0"/>
        <w:snapToGrid/>
        <w:spacing w:after="0" w:line="360" w:lineRule="auto"/>
        <w:ind w:firstLine="560" w:firstLineChars="200"/>
        <w:jc w:val="both"/>
        <w:outlineLvl w:val="0"/>
        <w:rPr>
          <w:rFonts w:hint="eastAsia" w:ascii="Times New Roman" w:hAnsi="Times New Roman" w:eastAsia="仿宋_GB2312" w:cs="Times New Roman"/>
          <w:b/>
          <w:bCs w:val="0"/>
          <w:kern w:val="0"/>
          <w:sz w:val="28"/>
          <w:szCs w:val="28"/>
          <w:lang w:val="en-US" w:eastAsia="zh-CN"/>
        </w:rPr>
      </w:pPr>
      <w:bookmarkStart w:id="802" w:name="_Toc16962"/>
      <w:bookmarkStart w:id="803" w:name="_Toc7136"/>
      <w:bookmarkStart w:id="804" w:name="_Toc30389"/>
      <w:r>
        <w:rPr>
          <w:rFonts w:hint="eastAsia" w:ascii="微软雅黑" w:hAnsi="微软雅黑" w:eastAsia="微软雅黑" w:cs="微软雅黑"/>
          <w:b/>
          <w:bCs w:val="0"/>
          <w:kern w:val="0"/>
          <w:sz w:val="28"/>
          <w:szCs w:val="28"/>
          <w:lang w:val="en-US" w:eastAsia="zh-CN"/>
        </w:rPr>
        <w:t>⑪</w:t>
      </w:r>
      <w:r>
        <w:rPr>
          <w:rFonts w:hint="eastAsia" w:ascii="Times New Roman" w:hAnsi="Times New Roman" w:eastAsia="仿宋_GB2312" w:cs="Times New Roman"/>
          <w:b/>
          <w:bCs w:val="0"/>
          <w:kern w:val="0"/>
          <w:sz w:val="28"/>
          <w:szCs w:val="28"/>
          <w:lang w:val="en-US" w:eastAsia="zh-CN"/>
        </w:rPr>
        <w:t>日常巡护管理</w:t>
      </w:r>
      <w:bookmarkEnd w:id="802"/>
      <w:bookmarkEnd w:id="803"/>
      <w:bookmarkEnd w:id="804"/>
    </w:p>
    <w:p w14:paraId="0EFF3A97">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bookmarkStart w:id="805" w:name="_Toc22285"/>
      <w:r>
        <w:rPr>
          <w:rFonts w:hint="eastAsia" w:ascii="Times New Roman" w:hAnsi="Times New Roman" w:eastAsia="仿宋_GB2312" w:cs="Times New Roman"/>
          <w:bCs/>
          <w:kern w:val="0"/>
          <w:sz w:val="28"/>
          <w:szCs w:val="28"/>
          <w:lang w:val="en-US" w:eastAsia="zh-CN"/>
        </w:rPr>
        <w:t>日常巡护管理面积774.9亩，造林后连续抚育4年。</w:t>
      </w:r>
      <w:bookmarkEnd w:id="805"/>
      <w:r>
        <w:rPr>
          <w:rFonts w:hint="eastAsia" w:ascii="Times New Roman" w:hAnsi="Times New Roman" w:eastAsia="仿宋_GB2312" w:cs="Times New Roman"/>
          <w:bCs/>
          <w:kern w:val="0"/>
          <w:sz w:val="28"/>
          <w:szCs w:val="28"/>
          <w:lang w:val="en-US" w:eastAsia="zh-CN"/>
        </w:rPr>
        <w:t>各小班物资及工程量明细详见附表1。</w:t>
      </w:r>
    </w:p>
    <w:p w14:paraId="6B38B01D">
      <w:pPr>
        <w:pStyle w:val="9"/>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楷体" w:hAnsi="楷体" w:eastAsia="楷体" w:cs="楷体"/>
          <w:b/>
          <w:bCs w:val="0"/>
          <w:kern w:val="0"/>
          <w:sz w:val="24"/>
          <w:szCs w:val="24"/>
          <w:lang w:val="en-US" w:eastAsia="zh-CN"/>
        </w:rPr>
      </w:pPr>
      <w:r>
        <w:rPr>
          <w:rFonts w:hint="eastAsia" w:ascii="楷体" w:hAnsi="楷体" w:eastAsia="楷体" w:cs="楷体"/>
          <w:b/>
          <w:bCs w:val="0"/>
          <w:kern w:val="0"/>
          <w:sz w:val="24"/>
          <w:szCs w:val="24"/>
          <w:lang w:val="en-US" w:eastAsia="zh-CN"/>
        </w:rPr>
        <w:t>表11-4 各乡镇施工工程量汇总表</w:t>
      </w:r>
    </w:p>
    <w:tbl>
      <w:tblPr>
        <w:tblStyle w:val="2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1"/>
        <w:gridCol w:w="2729"/>
        <w:gridCol w:w="1578"/>
        <w:gridCol w:w="1514"/>
        <w:gridCol w:w="1667"/>
      </w:tblGrid>
      <w:tr w14:paraId="6EC80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blHeader/>
        </w:trPr>
        <w:tc>
          <w:tcPr>
            <w:tcW w:w="605" w:type="pct"/>
            <w:vAlign w:val="center"/>
          </w:tcPr>
          <w:p w14:paraId="3DC10404">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序号</w:t>
            </w:r>
          </w:p>
        </w:tc>
        <w:tc>
          <w:tcPr>
            <w:tcW w:w="1601" w:type="pct"/>
            <w:vAlign w:val="center"/>
          </w:tcPr>
          <w:p w14:paraId="05D56EB1">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类别</w:t>
            </w:r>
          </w:p>
        </w:tc>
        <w:tc>
          <w:tcPr>
            <w:tcW w:w="926" w:type="pct"/>
            <w:vAlign w:val="center"/>
          </w:tcPr>
          <w:p w14:paraId="541ECDDA">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单位</w:t>
            </w:r>
          </w:p>
        </w:tc>
        <w:tc>
          <w:tcPr>
            <w:tcW w:w="888" w:type="pct"/>
            <w:vAlign w:val="center"/>
          </w:tcPr>
          <w:p w14:paraId="3703A1E6">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eastAsia" w:ascii="Arial Narrow" w:hAnsi="Arial Narrow" w:eastAsia="楷体" w:cs="Arial Narrow"/>
                <w:b/>
                <w:bCs w:val="0"/>
                <w:kern w:val="0"/>
                <w:sz w:val="21"/>
                <w:szCs w:val="21"/>
                <w:vertAlign w:val="baseline"/>
                <w:lang w:val="en-US" w:eastAsia="zh-CN"/>
              </w:rPr>
              <w:t>白石镇</w:t>
            </w:r>
          </w:p>
        </w:tc>
        <w:tc>
          <w:tcPr>
            <w:tcW w:w="978" w:type="pct"/>
            <w:vAlign w:val="center"/>
          </w:tcPr>
          <w:p w14:paraId="242278DC">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合计</w:t>
            </w:r>
          </w:p>
        </w:tc>
      </w:tr>
      <w:tr w14:paraId="21433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605" w:type="pct"/>
            <w:vAlign w:val="center"/>
          </w:tcPr>
          <w:p w14:paraId="67A39876">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w:t>
            </w:r>
          </w:p>
        </w:tc>
        <w:tc>
          <w:tcPr>
            <w:tcW w:w="1601" w:type="pct"/>
            <w:vAlign w:val="center"/>
          </w:tcPr>
          <w:p w14:paraId="56B984AE">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乔木林采伐</w:t>
            </w:r>
          </w:p>
        </w:tc>
        <w:tc>
          <w:tcPr>
            <w:tcW w:w="926" w:type="pct"/>
            <w:vAlign w:val="center"/>
          </w:tcPr>
          <w:p w14:paraId="03184406">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立方米</w:t>
            </w:r>
          </w:p>
        </w:tc>
        <w:tc>
          <w:tcPr>
            <w:tcW w:w="1514" w:type="dxa"/>
            <w:vAlign w:val="center"/>
          </w:tcPr>
          <w:p w14:paraId="65DA1BB4">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3054</w:t>
            </w:r>
          </w:p>
        </w:tc>
        <w:tc>
          <w:tcPr>
            <w:tcW w:w="1667" w:type="dxa"/>
            <w:vAlign w:val="center"/>
          </w:tcPr>
          <w:p w14:paraId="71CE9AE7">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3054</w:t>
            </w:r>
          </w:p>
        </w:tc>
      </w:tr>
      <w:tr w14:paraId="66F37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605" w:type="pct"/>
            <w:vAlign w:val="center"/>
          </w:tcPr>
          <w:p w14:paraId="1E4A58D8">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2</w:t>
            </w:r>
          </w:p>
        </w:tc>
        <w:tc>
          <w:tcPr>
            <w:tcW w:w="1601" w:type="pct"/>
            <w:vAlign w:val="center"/>
          </w:tcPr>
          <w:p w14:paraId="254AD08F">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i w:val="0"/>
                <w:iCs w:val="0"/>
                <w:kern w:val="0"/>
                <w:sz w:val="21"/>
                <w:szCs w:val="21"/>
                <w:u w:val="none"/>
                <w:lang w:val="en-US" w:eastAsia="zh-CN" w:bidi="ar"/>
              </w:rPr>
              <w:t>竹材下山</w:t>
            </w:r>
          </w:p>
        </w:tc>
        <w:tc>
          <w:tcPr>
            <w:tcW w:w="926" w:type="pct"/>
            <w:vAlign w:val="center"/>
          </w:tcPr>
          <w:p w14:paraId="2F37D9E4">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吨</w:t>
            </w:r>
          </w:p>
        </w:tc>
        <w:tc>
          <w:tcPr>
            <w:tcW w:w="1514" w:type="dxa"/>
            <w:vAlign w:val="center"/>
          </w:tcPr>
          <w:p w14:paraId="011F9134">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19.8</w:t>
            </w:r>
          </w:p>
        </w:tc>
        <w:tc>
          <w:tcPr>
            <w:tcW w:w="1667" w:type="dxa"/>
            <w:vAlign w:val="center"/>
          </w:tcPr>
          <w:p w14:paraId="238EBEFF">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19.8</w:t>
            </w:r>
          </w:p>
        </w:tc>
      </w:tr>
      <w:tr w14:paraId="2529F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605" w:type="pct"/>
            <w:vAlign w:val="center"/>
          </w:tcPr>
          <w:p w14:paraId="2295BC74">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3</w:t>
            </w:r>
          </w:p>
        </w:tc>
        <w:tc>
          <w:tcPr>
            <w:tcW w:w="1601" w:type="pct"/>
            <w:vAlign w:val="center"/>
          </w:tcPr>
          <w:p w14:paraId="6E58A7CF">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i w:val="0"/>
                <w:iCs w:val="0"/>
                <w:kern w:val="0"/>
                <w:sz w:val="21"/>
                <w:szCs w:val="21"/>
                <w:u w:val="none"/>
                <w:lang w:val="en-US" w:eastAsia="zh-CN" w:bidi="ar"/>
              </w:rPr>
              <w:t>采伐剩余物</w:t>
            </w:r>
          </w:p>
        </w:tc>
        <w:tc>
          <w:tcPr>
            <w:tcW w:w="926" w:type="pct"/>
            <w:vAlign w:val="center"/>
          </w:tcPr>
          <w:p w14:paraId="4183B21E">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吨</w:t>
            </w:r>
          </w:p>
        </w:tc>
        <w:tc>
          <w:tcPr>
            <w:tcW w:w="1514" w:type="dxa"/>
            <w:vAlign w:val="center"/>
          </w:tcPr>
          <w:p w14:paraId="5C9DC1B2">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704.9</w:t>
            </w:r>
          </w:p>
        </w:tc>
        <w:tc>
          <w:tcPr>
            <w:tcW w:w="1667" w:type="dxa"/>
            <w:vAlign w:val="center"/>
          </w:tcPr>
          <w:p w14:paraId="70A395DE">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704.9</w:t>
            </w:r>
          </w:p>
        </w:tc>
      </w:tr>
      <w:tr w14:paraId="3E8F9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605" w:type="pct"/>
            <w:vAlign w:val="center"/>
          </w:tcPr>
          <w:p w14:paraId="2BD9BB45">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4</w:t>
            </w:r>
          </w:p>
        </w:tc>
        <w:tc>
          <w:tcPr>
            <w:tcW w:w="1601" w:type="pct"/>
            <w:vAlign w:val="center"/>
          </w:tcPr>
          <w:p w14:paraId="51ABA092">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i w:val="0"/>
                <w:iCs w:val="0"/>
                <w:kern w:val="0"/>
                <w:sz w:val="21"/>
                <w:szCs w:val="21"/>
                <w:u w:val="none"/>
                <w:lang w:val="en-US" w:eastAsia="zh-CN" w:bidi="ar"/>
              </w:rPr>
              <w:t>竹薮清理</w:t>
            </w:r>
          </w:p>
        </w:tc>
        <w:tc>
          <w:tcPr>
            <w:tcW w:w="926" w:type="pct"/>
            <w:vAlign w:val="center"/>
          </w:tcPr>
          <w:p w14:paraId="0A5D1BEE">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亩</w:t>
            </w:r>
          </w:p>
        </w:tc>
        <w:tc>
          <w:tcPr>
            <w:tcW w:w="1514" w:type="dxa"/>
            <w:vAlign w:val="center"/>
          </w:tcPr>
          <w:p w14:paraId="6DC2840F">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12.3</w:t>
            </w:r>
          </w:p>
        </w:tc>
        <w:tc>
          <w:tcPr>
            <w:tcW w:w="1667" w:type="dxa"/>
            <w:vAlign w:val="center"/>
          </w:tcPr>
          <w:p w14:paraId="06C2FC06">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12.3</w:t>
            </w:r>
          </w:p>
        </w:tc>
      </w:tr>
      <w:tr w14:paraId="4EA6B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605" w:type="pct"/>
            <w:vAlign w:val="center"/>
          </w:tcPr>
          <w:p w14:paraId="7F9A00F2">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5</w:t>
            </w:r>
          </w:p>
        </w:tc>
        <w:tc>
          <w:tcPr>
            <w:tcW w:w="1601" w:type="pct"/>
            <w:vAlign w:val="center"/>
          </w:tcPr>
          <w:p w14:paraId="270C33B9">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i w:val="0"/>
                <w:iCs w:val="0"/>
                <w:kern w:val="0"/>
                <w:sz w:val="21"/>
                <w:szCs w:val="21"/>
                <w:u w:val="none"/>
                <w:lang w:val="en-US" w:eastAsia="zh-CN" w:bidi="ar"/>
              </w:rPr>
              <w:t>高灌清理</w:t>
            </w:r>
          </w:p>
        </w:tc>
        <w:tc>
          <w:tcPr>
            <w:tcW w:w="926" w:type="pct"/>
            <w:vAlign w:val="center"/>
          </w:tcPr>
          <w:p w14:paraId="26A4BF27">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eastAsia"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亩</w:t>
            </w:r>
          </w:p>
        </w:tc>
        <w:tc>
          <w:tcPr>
            <w:tcW w:w="1514" w:type="dxa"/>
            <w:vAlign w:val="center"/>
          </w:tcPr>
          <w:p w14:paraId="218F57D6">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24.5</w:t>
            </w:r>
          </w:p>
        </w:tc>
        <w:tc>
          <w:tcPr>
            <w:tcW w:w="1667" w:type="dxa"/>
            <w:vAlign w:val="center"/>
          </w:tcPr>
          <w:p w14:paraId="5A8908E1">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24.5</w:t>
            </w:r>
          </w:p>
        </w:tc>
      </w:tr>
      <w:tr w14:paraId="2029F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605" w:type="pct"/>
            <w:vAlign w:val="center"/>
          </w:tcPr>
          <w:p w14:paraId="0B608F94">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6</w:t>
            </w:r>
          </w:p>
        </w:tc>
        <w:tc>
          <w:tcPr>
            <w:tcW w:w="1601" w:type="pct"/>
            <w:vAlign w:val="center"/>
          </w:tcPr>
          <w:p w14:paraId="6C59925E">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i w:val="0"/>
                <w:iCs w:val="0"/>
                <w:kern w:val="0"/>
                <w:sz w:val="21"/>
                <w:szCs w:val="21"/>
                <w:u w:val="none"/>
                <w:lang w:val="en-US" w:eastAsia="zh-CN" w:bidi="ar"/>
              </w:rPr>
              <w:t>草灌清理</w:t>
            </w:r>
          </w:p>
        </w:tc>
        <w:tc>
          <w:tcPr>
            <w:tcW w:w="926" w:type="pct"/>
            <w:vAlign w:val="center"/>
          </w:tcPr>
          <w:p w14:paraId="077C9A27">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eastAsia"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亩</w:t>
            </w:r>
          </w:p>
        </w:tc>
        <w:tc>
          <w:tcPr>
            <w:tcW w:w="1514" w:type="dxa"/>
            <w:vAlign w:val="center"/>
          </w:tcPr>
          <w:p w14:paraId="6393F020">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738.1</w:t>
            </w:r>
          </w:p>
        </w:tc>
        <w:tc>
          <w:tcPr>
            <w:tcW w:w="1667" w:type="dxa"/>
            <w:vAlign w:val="center"/>
          </w:tcPr>
          <w:p w14:paraId="44E1A325">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738.1</w:t>
            </w:r>
          </w:p>
        </w:tc>
      </w:tr>
      <w:tr w14:paraId="24FF5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605" w:type="pct"/>
            <w:vAlign w:val="center"/>
          </w:tcPr>
          <w:p w14:paraId="77A53D64">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7</w:t>
            </w:r>
          </w:p>
        </w:tc>
        <w:tc>
          <w:tcPr>
            <w:tcW w:w="1601" w:type="pct"/>
            <w:vAlign w:val="center"/>
          </w:tcPr>
          <w:p w14:paraId="1AFB7194">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i w:val="0"/>
                <w:iCs w:val="0"/>
                <w:kern w:val="0"/>
                <w:sz w:val="21"/>
                <w:szCs w:val="21"/>
                <w:u w:val="none"/>
                <w:lang w:val="en-US" w:eastAsia="zh-CN" w:bidi="ar"/>
              </w:rPr>
              <w:t>带状整地</w:t>
            </w:r>
          </w:p>
        </w:tc>
        <w:tc>
          <w:tcPr>
            <w:tcW w:w="926" w:type="pct"/>
            <w:vAlign w:val="center"/>
          </w:tcPr>
          <w:p w14:paraId="2D85A62D">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eastAsia"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亩</w:t>
            </w:r>
          </w:p>
        </w:tc>
        <w:tc>
          <w:tcPr>
            <w:tcW w:w="1514" w:type="dxa"/>
            <w:vAlign w:val="center"/>
          </w:tcPr>
          <w:p w14:paraId="7A6377FF">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477</w:t>
            </w:r>
          </w:p>
        </w:tc>
        <w:tc>
          <w:tcPr>
            <w:tcW w:w="1667" w:type="dxa"/>
            <w:vAlign w:val="center"/>
          </w:tcPr>
          <w:p w14:paraId="48E51923">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477</w:t>
            </w:r>
          </w:p>
        </w:tc>
      </w:tr>
      <w:tr w14:paraId="461FB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605" w:type="pct"/>
            <w:vAlign w:val="center"/>
          </w:tcPr>
          <w:p w14:paraId="7A905E97">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8</w:t>
            </w:r>
          </w:p>
        </w:tc>
        <w:tc>
          <w:tcPr>
            <w:tcW w:w="1601" w:type="pct"/>
            <w:vAlign w:val="center"/>
          </w:tcPr>
          <w:p w14:paraId="54EF96F3">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i w:val="0"/>
                <w:iCs w:val="0"/>
                <w:kern w:val="0"/>
                <w:sz w:val="21"/>
                <w:szCs w:val="21"/>
                <w:u w:val="none"/>
                <w:lang w:val="en-US" w:eastAsia="zh-CN" w:bidi="ar"/>
              </w:rPr>
              <w:t>块状整地</w:t>
            </w:r>
          </w:p>
        </w:tc>
        <w:tc>
          <w:tcPr>
            <w:tcW w:w="926" w:type="pct"/>
            <w:vAlign w:val="center"/>
          </w:tcPr>
          <w:p w14:paraId="2ECA4352">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eastAsia"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100</w:t>
            </w:r>
            <w:r>
              <w:rPr>
                <w:rFonts w:hint="default" w:ascii="Arial Narrow" w:hAnsi="Arial Narrow" w:eastAsia="楷体" w:cs="Arial Narrow"/>
                <w:bCs/>
                <w:kern w:val="0"/>
                <w:sz w:val="21"/>
                <w:szCs w:val="21"/>
                <w:vertAlign w:val="baseline"/>
                <w:lang w:val="en-US" w:eastAsia="zh-CN"/>
              </w:rPr>
              <w:t>块</w:t>
            </w:r>
          </w:p>
        </w:tc>
        <w:tc>
          <w:tcPr>
            <w:tcW w:w="1514" w:type="dxa"/>
            <w:vAlign w:val="center"/>
          </w:tcPr>
          <w:p w14:paraId="274DCA23">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77.84</w:t>
            </w:r>
          </w:p>
        </w:tc>
        <w:tc>
          <w:tcPr>
            <w:tcW w:w="1667" w:type="dxa"/>
            <w:vAlign w:val="center"/>
          </w:tcPr>
          <w:p w14:paraId="4F77FF22">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77.84</w:t>
            </w:r>
          </w:p>
        </w:tc>
      </w:tr>
      <w:tr w14:paraId="7832A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605" w:type="pct"/>
            <w:vAlign w:val="center"/>
          </w:tcPr>
          <w:p w14:paraId="293BCB30">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9</w:t>
            </w:r>
          </w:p>
        </w:tc>
        <w:tc>
          <w:tcPr>
            <w:tcW w:w="1601" w:type="pct"/>
            <w:vAlign w:val="center"/>
          </w:tcPr>
          <w:p w14:paraId="2E46B300">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i w:val="0"/>
                <w:iCs w:val="0"/>
                <w:kern w:val="0"/>
                <w:sz w:val="21"/>
                <w:szCs w:val="21"/>
                <w:u w:val="none"/>
                <w:lang w:val="en-US" w:eastAsia="zh-CN" w:bidi="ar"/>
              </w:rPr>
              <w:t>整地后挖穴</w:t>
            </w:r>
          </w:p>
        </w:tc>
        <w:tc>
          <w:tcPr>
            <w:tcW w:w="926" w:type="pct"/>
            <w:vAlign w:val="center"/>
          </w:tcPr>
          <w:p w14:paraId="0F6D8D9C">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eastAsia"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10</w:t>
            </w:r>
            <w:r>
              <w:rPr>
                <w:rFonts w:hint="default" w:ascii="Arial Narrow" w:hAnsi="Arial Narrow" w:eastAsia="楷体" w:cs="Arial Narrow"/>
                <w:bCs/>
                <w:kern w:val="0"/>
                <w:sz w:val="21"/>
                <w:szCs w:val="21"/>
                <w:vertAlign w:val="baseline"/>
                <w:lang w:val="en-US" w:eastAsia="zh-CN"/>
              </w:rPr>
              <w:t>穴</w:t>
            </w:r>
          </w:p>
        </w:tc>
        <w:tc>
          <w:tcPr>
            <w:tcW w:w="1514" w:type="dxa"/>
            <w:vAlign w:val="center"/>
          </w:tcPr>
          <w:p w14:paraId="4B18A29A">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4339.5</w:t>
            </w:r>
          </w:p>
        </w:tc>
        <w:tc>
          <w:tcPr>
            <w:tcW w:w="1667" w:type="dxa"/>
            <w:vAlign w:val="center"/>
          </w:tcPr>
          <w:p w14:paraId="497D6AD0">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4339.5</w:t>
            </w:r>
          </w:p>
        </w:tc>
      </w:tr>
      <w:tr w14:paraId="437ED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605" w:type="pct"/>
            <w:vAlign w:val="center"/>
          </w:tcPr>
          <w:p w14:paraId="12540FFE">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10</w:t>
            </w:r>
          </w:p>
        </w:tc>
        <w:tc>
          <w:tcPr>
            <w:tcW w:w="1601" w:type="pct"/>
            <w:vAlign w:val="center"/>
          </w:tcPr>
          <w:p w14:paraId="1F729E53">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i w:val="0"/>
                <w:iCs w:val="0"/>
                <w:kern w:val="0"/>
                <w:sz w:val="21"/>
                <w:szCs w:val="21"/>
                <w:u w:val="none"/>
                <w:lang w:val="en-US" w:eastAsia="zh-CN" w:bidi="ar"/>
              </w:rPr>
              <w:t>肥料上山</w:t>
            </w:r>
          </w:p>
        </w:tc>
        <w:tc>
          <w:tcPr>
            <w:tcW w:w="926" w:type="pct"/>
            <w:vAlign w:val="center"/>
          </w:tcPr>
          <w:p w14:paraId="555C45F9">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eastAsia"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吨</w:t>
            </w:r>
          </w:p>
        </w:tc>
        <w:tc>
          <w:tcPr>
            <w:tcW w:w="1514" w:type="dxa"/>
            <w:vAlign w:val="center"/>
          </w:tcPr>
          <w:p w14:paraId="46A31519">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238.6692</w:t>
            </w:r>
          </w:p>
        </w:tc>
        <w:tc>
          <w:tcPr>
            <w:tcW w:w="1667" w:type="dxa"/>
            <w:vAlign w:val="center"/>
          </w:tcPr>
          <w:p w14:paraId="0E6507DA">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238.6692</w:t>
            </w:r>
          </w:p>
        </w:tc>
      </w:tr>
      <w:tr w14:paraId="099F3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605" w:type="pct"/>
            <w:vAlign w:val="center"/>
          </w:tcPr>
          <w:p w14:paraId="28C61B5F">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11</w:t>
            </w:r>
          </w:p>
        </w:tc>
        <w:tc>
          <w:tcPr>
            <w:tcW w:w="1601" w:type="pct"/>
            <w:vAlign w:val="center"/>
          </w:tcPr>
          <w:p w14:paraId="70182B29">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i w:val="0"/>
                <w:iCs w:val="0"/>
                <w:kern w:val="0"/>
                <w:sz w:val="21"/>
                <w:szCs w:val="21"/>
                <w:u w:val="none"/>
                <w:lang w:val="en-US" w:eastAsia="zh-CN" w:bidi="ar"/>
              </w:rPr>
              <w:t>苗木上山</w:t>
            </w:r>
          </w:p>
        </w:tc>
        <w:tc>
          <w:tcPr>
            <w:tcW w:w="926" w:type="pct"/>
            <w:vAlign w:val="center"/>
          </w:tcPr>
          <w:p w14:paraId="7C3FEA15">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eastAsia"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100株</w:t>
            </w:r>
          </w:p>
        </w:tc>
        <w:tc>
          <w:tcPr>
            <w:tcW w:w="1514" w:type="dxa"/>
            <w:vAlign w:val="center"/>
          </w:tcPr>
          <w:p w14:paraId="3A79F9DC">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477.33</w:t>
            </w:r>
          </w:p>
        </w:tc>
        <w:tc>
          <w:tcPr>
            <w:tcW w:w="1667" w:type="dxa"/>
            <w:vAlign w:val="center"/>
          </w:tcPr>
          <w:p w14:paraId="25479E29">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477.33</w:t>
            </w:r>
          </w:p>
        </w:tc>
      </w:tr>
      <w:tr w14:paraId="59364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605" w:type="pct"/>
            <w:vAlign w:val="center"/>
          </w:tcPr>
          <w:p w14:paraId="0F9BDCE1">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12</w:t>
            </w:r>
          </w:p>
        </w:tc>
        <w:tc>
          <w:tcPr>
            <w:tcW w:w="1601" w:type="pct"/>
            <w:vAlign w:val="center"/>
          </w:tcPr>
          <w:p w14:paraId="6F2BDC1F">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i w:val="0"/>
                <w:iCs w:val="0"/>
                <w:kern w:val="0"/>
                <w:sz w:val="21"/>
                <w:szCs w:val="21"/>
                <w:u w:val="none"/>
                <w:lang w:val="en-US" w:eastAsia="zh-CN" w:bidi="ar"/>
              </w:rPr>
              <w:t>施基肥</w:t>
            </w:r>
          </w:p>
        </w:tc>
        <w:tc>
          <w:tcPr>
            <w:tcW w:w="926" w:type="pct"/>
            <w:vAlign w:val="center"/>
          </w:tcPr>
          <w:p w14:paraId="2B9FF191">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eastAsia"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100千克</w:t>
            </w:r>
          </w:p>
        </w:tc>
        <w:tc>
          <w:tcPr>
            <w:tcW w:w="1514" w:type="dxa"/>
            <w:vAlign w:val="center"/>
          </w:tcPr>
          <w:p w14:paraId="6A44B453">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2386.692</w:t>
            </w:r>
          </w:p>
        </w:tc>
        <w:tc>
          <w:tcPr>
            <w:tcW w:w="1667" w:type="dxa"/>
            <w:vAlign w:val="center"/>
          </w:tcPr>
          <w:p w14:paraId="1489DABA">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2386.692</w:t>
            </w:r>
          </w:p>
        </w:tc>
      </w:tr>
      <w:tr w14:paraId="6A4C4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605" w:type="pct"/>
            <w:vAlign w:val="center"/>
          </w:tcPr>
          <w:p w14:paraId="457908A5">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13</w:t>
            </w:r>
          </w:p>
        </w:tc>
        <w:tc>
          <w:tcPr>
            <w:tcW w:w="1601" w:type="pct"/>
            <w:vAlign w:val="center"/>
          </w:tcPr>
          <w:p w14:paraId="6A44757C">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i w:val="0"/>
                <w:iCs w:val="0"/>
                <w:kern w:val="0"/>
                <w:sz w:val="21"/>
                <w:szCs w:val="21"/>
                <w:u w:val="none"/>
                <w:lang w:val="en-US" w:eastAsia="zh-CN" w:bidi="ar"/>
              </w:rPr>
              <w:t>经济林苗木定植</w:t>
            </w:r>
          </w:p>
        </w:tc>
        <w:tc>
          <w:tcPr>
            <w:tcW w:w="926" w:type="pct"/>
            <w:vAlign w:val="center"/>
          </w:tcPr>
          <w:p w14:paraId="12218A93">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eastAsia"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10</w:t>
            </w:r>
            <w:r>
              <w:rPr>
                <w:rFonts w:hint="default" w:ascii="Arial Narrow" w:hAnsi="Arial Narrow" w:eastAsia="楷体" w:cs="Arial Narrow"/>
                <w:bCs/>
                <w:kern w:val="0"/>
                <w:sz w:val="21"/>
                <w:szCs w:val="21"/>
                <w:vertAlign w:val="baseline"/>
                <w:lang w:val="en-US" w:eastAsia="zh-CN"/>
              </w:rPr>
              <w:t>株</w:t>
            </w:r>
          </w:p>
        </w:tc>
        <w:tc>
          <w:tcPr>
            <w:tcW w:w="1514" w:type="dxa"/>
            <w:vAlign w:val="center"/>
          </w:tcPr>
          <w:p w14:paraId="382F7FB7">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4339.5</w:t>
            </w:r>
          </w:p>
        </w:tc>
        <w:tc>
          <w:tcPr>
            <w:tcW w:w="1667" w:type="dxa"/>
            <w:vAlign w:val="center"/>
          </w:tcPr>
          <w:p w14:paraId="1B078661">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4339.5</w:t>
            </w:r>
          </w:p>
        </w:tc>
      </w:tr>
      <w:tr w14:paraId="75DD4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605" w:type="pct"/>
            <w:vAlign w:val="center"/>
          </w:tcPr>
          <w:p w14:paraId="10F57147">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14</w:t>
            </w:r>
          </w:p>
        </w:tc>
        <w:tc>
          <w:tcPr>
            <w:tcW w:w="1601" w:type="pct"/>
            <w:vAlign w:val="center"/>
          </w:tcPr>
          <w:p w14:paraId="37EA456A">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i w:val="0"/>
                <w:iCs w:val="0"/>
                <w:kern w:val="0"/>
                <w:sz w:val="21"/>
                <w:szCs w:val="21"/>
                <w:u w:val="none"/>
                <w:lang w:val="en-US" w:eastAsia="zh-CN" w:bidi="ar"/>
              </w:rPr>
              <w:t>经济林苗木抚育</w:t>
            </w:r>
          </w:p>
        </w:tc>
        <w:tc>
          <w:tcPr>
            <w:tcW w:w="926" w:type="pct"/>
            <w:vAlign w:val="center"/>
          </w:tcPr>
          <w:p w14:paraId="00235661">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eastAsia"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100</w:t>
            </w:r>
            <w:r>
              <w:rPr>
                <w:rFonts w:hint="default" w:ascii="Arial Narrow" w:hAnsi="Arial Narrow" w:eastAsia="楷体" w:cs="Arial Narrow"/>
                <w:bCs/>
                <w:kern w:val="0"/>
                <w:sz w:val="21"/>
                <w:szCs w:val="21"/>
                <w:vertAlign w:val="baseline"/>
                <w:lang w:val="en-US" w:eastAsia="zh-CN"/>
              </w:rPr>
              <w:t>株</w:t>
            </w:r>
          </w:p>
        </w:tc>
        <w:tc>
          <w:tcPr>
            <w:tcW w:w="1514" w:type="dxa"/>
            <w:vAlign w:val="center"/>
          </w:tcPr>
          <w:p w14:paraId="0BC2470A">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433.95</w:t>
            </w:r>
          </w:p>
        </w:tc>
        <w:tc>
          <w:tcPr>
            <w:tcW w:w="1667" w:type="dxa"/>
            <w:vAlign w:val="center"/>
          </w:tcPr>
          <w:p w14:paraId="2C0A611F">
            <w:pPr>
              <w:keepNext w:val="0"/>
              <w:keepLines w:val="0"/>
              <w:widowControl w:val="0"/>
              <w:suppressLineNumbers w:val="0"/>
              <w:spacing w:after="0"/>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433.95</w:t>
            </w:r>
          </w:p>
        </w:tc>
      </w:tr>
      <w:tr w14:paraId="52834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605" w:type="pct"/>
            <w:vAlign w:val="center"/>
          </w:tcPr>
          <w:p w14:paraId="18937CEB">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15</w:t>
            </w:r>
          </w:p>
        </w:tc>
        <w:tc>
          <w:tcPr>
            <w:tcW w:w="1601" w:type="pct"/>
            <w:vAlign w:val="center"/>
          </w:tcPr>
          <w:p w14:paraId="3365312C">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日常巡护管理</w:t>
            </w:r>
          </w:p>
        </w:tc>
        <w:tc>
          <w:tcPr>
            <w:tcW w:w="926" w:type="pct"/>
            <w:vAlign w:val="center"/>
          </w:tcPr>
          <w:p w14:paraId="1DDBADEB">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亩</w:t>
            </w:r>
            <w:r>
              <w:rPr>
                <w:rFonts w:hint="eastAsia" w:ascii="Arial Narrow" w:hAnsi="Arial Narrow" w:eastAsia="仿宋" w:cs="Arial Narrow"/>
                <w:bCs/>
                <w:kern w:val="0"/>
                <w:sz w:val="21"/>
                <w:szCs w:val="21"/>
                <w:vertAlign w:val="baseline"/>
                <w:lang w:val="en-US" w:eastAsia="zh-CN"/>
              </w:rPr>
              <w:t>˙</w:t>
            </w:r>
            <w:r>
              <w:rPr>
                <w:rFonts w:hint="default" w:ascii="Arial Narrow" w:hAnsi="Arial Narrow" w:eastAsia="楷体" w:cs="Arial Narrow"/>
                <w:bCs/>
                <w:kern w:val="0"/>
                <w:sz w:val="21"/>
                <w:szCs w:val="21"/>
                <w:vertAlign w:val="baseline"/>
                <w:lang w:val="en-US" w:eastAsia="zh-CN"/>
              </w:rPr>
              <w:t>年</w:t>
            </w:r>
          </w:p>
        </w:tc>
        <w:tc>
          <w:tcPr>
            <w:tcW w:w="888" w:type="pct"/>
            <w:vAlign w:val="center"/>
          </w:tcPr>
          <w:p w14:paraId="49822781">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774.9</w:t>
            </w:r>
          </w:p>
        </w:tc>
        <w:tc>
          <w:tcPr>
            <w:tcW w:w="1667" w:type="dxa"/>
            <w:vAlign w:val="center"/>
          </w:tcPr>
          <w:p w14:paraId="2886DF9D">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774.9</w:t>
            </w:r>
          </w:p>
        </w:tc>
      </w:tr>
    </w:tbl>
    <w:p w14:paraId="01CC84BB">
      <w:pPr>
        <w:pageBreakBefore w:val="0"/>
        <w:widowControl w:val="0"/>
        <w:kinsoku/>
        <w:wordWrap/>
        <w:overflowPunct/>
        <w:topLinePunct w:val="0"/>
        <w:bidi w:val="0"/>
        <w:snapToGrid/>
        <w:spacing w:after="0" w:line="360" w:lineRule="auto"/>
        <w:ind w:firstLine="562" w:firstLineChars="200"/>
        <w:jc w:val="both"/>
        <w:outlineLvl w:val="1"/>
        <w:rPr>
          <w:rFonts w:hint="default" w:ascii="Times New Roman" w:hAnsi="Times New Roman" w:eastAsia="仿宋_GB2312" w:cs="Times New Roman"/>
          <w:b/>
          <w:bCs w:val="0"/>
          <w:kern w:val="0"/>
          <w:sz w:val="28"/>
          <w:szCs w:val="28"/>
          <w:lang w:val="en-US" w:eastAsia="zh-CN"/>
        </w:rPr>
      </w:pPr>
      <w:bookmarkStart w:id="806" w:name="_Toc4655"/>
      <w:bookmarkStart w:id="807" w:name="_Toc5729"/>
      <w:bookmarkStart w:id="808" w:name="_Toc85"/>
      <w:bookmarkStart w:id="809" w:name="_Toc7385"/>
      <w:bookmarkStart w:id="810" w:name="_Toc1015"/>
      <w:bookmarkStart w:id="811" w:name="_Toc25413"/>
      <w:r>
        <w:rPr>
          <w:rFonts w:hint="eastAsia" w:ascii="Times New Roman" w:hAnsi="Times New Roman" w:eastAsia="仿宋_GB2312" w:cs="Times New Roman"/>
          <w:b/>
          <w:bCs w:val="0"/>
          <w:kern w:val="0"/>
          <w:sz w:val="28"/>
          <w:szCs w:val="28"/>
          <w:lang w:val="en-US" w:eastAsia="zh-CN"/>
        </w:rPr>
        <w:t>（2）用工量测算</w:t>
      </w:r>
      <w:bookmarkEnd w:id="806"/>
      <w:bookmarkEnd w:id="807"/>
      <w:bookmarkEnd w:id="808"/>
      <w:bookmarkEnd w:id="809"/>
      <w:bookmarkEnd w:id="810"/>
      <w:bookmarkEnd w:id="811"/>
    </w:p>
    <w:p w14:paraId="0036C060">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参考《浙江省营造林工程预算定额（2019 版）》，并根据项目区的自然条件和林种不同确定用工标准，同时参照常山县社会经济情况、苗木市场价格及近几年营造林实际用工定额综合确定不同规格苗木价格和整地、栽植等亩用工定额标准。各工序人工（或机械）单位消耗量定额表如下：</w:t>
      </w:r>
    </w:p>
    <w:p w14:paraId="0C735CD3">
      <w:pPr>
        <w:pStyle w:val="9"/>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楷体" w:hAnsi="楷体" w:eastAsia="楷体" w:cs="楷体"/>
          <w:b/>
          <w:bCs w:val="0"/>
          <w:kern w:val="0"/>
          <w:sz w:val="24"/>
          <w:szCs w:val="24"/>
          <w:lang w:val="en-US" w:eastAsia="zh-CN"/>
        </w:rPr>
      </w:pPr>
      <w:r>
        <w:rPr>
          <w:rFonts w:hint="eastAsia" w:ascii="楷体" w:hAnsi="楷体" w:eastAsia="楷体" w:cs="楷体"/>
          <w:b/>
          <w:bCs w:val="0"/>
          <w:kern w:val="0"/>
          <w:sz w:val="24"/>
          <w:szCs w:val="24"/>
          <w:lang w:val="en-US" w:eastAsia="zh-CN"/>
        </w:rPr>
        <w:t>表11-5 各工序人工（或机械）单位消耗量定额表</w:t>
      </w:r>
    </w:p>
    <w:p w14:paraId="343916EC">
      <w:pPr>
        <w:pStyle w:val="9"/>
        <w:keepNext w:val="0"/>
        <w:keepLines w:val="0"/>
        <w:pageBreakBefore w:val="0"/>
        <w:widowControl w:val="0"/>
        <w:kinsoku/>
        <w:wordWrap/>
        <w:overflowPunct/>
        <w:topLinePunct w:val="0"/>
        <w:autoSpaceDE/>
        <w:autoSpaceDN/>
        <w:bidi w:val="0"/>
        <w:adjustRightInd/>
        <w:snapToGrid/>
        <w:spacing w:line="360" w:lineRule="auto"/>
        <w:ind w:firstLine="0" w:firstLineChars="0"/>
        <w:jc w:val="right"/>
        <w:textAlignment w:val="auto"/>
        <w:rPr>
          <w:rFonts w:hint="default" w:ascii="楷体" w:hAnsi="楷体" w:eastAsia="楷体" w:cs="楷体"/>
          <w:b w:val="0"/>
          <w:bCs/>
          <w:kern w:val="0"/>
          <w:sz w:val="21"/>
          <w:szCs w:val="21"/>
          <w:lang w:val="en-US" w:eastAsia="zh-CN"/>
        </w:rPr>
      </w:pPr>
      <w:r>
        <w:rPr>
          <w:rFonts w:hint="eastAsia" w:ascii="楷体" w:hAnsi="楷体" w:eastAsia="楷体" w:cs="楷体"/>
          <w:b w:val="0"/>
          <w:bCs/>
          <w:kern w:val="0"/>
          <w:sz w:val="21"/>
          <w:szCs w:val="21"/>
          <w:lang w:val="en-US" w:eastAsia="zh-CN"/>
        </w:rPr>
        <w:t>工日、台班</w:t>
      </w:r>
    </w:p>
    <w:tbl>
      <w:tblPr>
        <w:tblStyle w:val="2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6"/>
        <w:gridCol w:w="1923"/>
        <w:gridCol w:w="1209"/>
        <w:gridCol w:w="2550"/>
        <w:gridCol w:w="2111"/>
      </w:tblGrid>
      <w:tr w14:paraId="1BC02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blHeader/>
        </w:trPr>
        <w:tc>
          <w:tcPr>
            <w:tcW w:w="426" w:type="pct"/>
            <w:vAlign w:val="center"/>
          </w:tcPr>
          <w:p w14:paraId="7969C06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序号</w:t>
            </w:r>
          </w:p>
        </w:tc>
        <w:tc>
          <w:tcPr>
            <w:tcW w:w="1128" w:type="pct"/>
            <w:vAlign w:val="center"/>
          </w:tcPr>
          <w:p w14:paraId="7F3CAA4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工序</w:t>
            </w:r>
          </w:p>
        </w:tc>
        <w:tc>
          <w:tcPr>
            <w:tcW w:w="709" w:type="pct"/>
            <w:vAlign w:val="center"/>
          </w:tcPr>
          <w:p w14:paraId="43E25420">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计量单位</w:t>
            </w:r>
          </w:p>
        </w:tc>
        <w:tc>
          <w:tcPr>
            <w:tcW w:w="1496" w:type="pct"/>
            <w:vAlign w:val="center"/>
          </w:tcPr>
          <w:p w14:paraId="2860479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类型</w:t>
            </w:r>
          </w:p>
        </w:tc>
        <w:tc>
          <w:tcPr>
            <w:tcW w:w="1238" w:type="pct"/>
            <w:vAlign w:val="center"/>
          </w:tcPr>
          <w:p w14:paraId="0EA062A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单位消耗量</w:t>
            </w:r>
          </w:p>
        </w:tc>
      </w:tr>
      <w:tr w14:paraId="32C3B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26" w:type="pct"/>
            <w:vAlign w:val="center"/>
          </w:tcPr>
          <w:p w14:paraId="68A323A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w:t>
            </w:r>
          </w:p>
        </w:tc>
        <w:tc>
          <w:tcPr>
            <w:tcW w:w="1128" w:type="pct"/>
            <w:vAlign w:val="center"/>
          </w:tcPr>
          <w:p w14:paraId="59CDB6E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乔木林采伐</w:t>
            </w:r>
          </w:p>
        </w:tc>
        <w:tc>
          <w:tcPr>
            <w:tcW w:w="709" w:type="pct"/>
            <w:vAlign w:val="center"/>
          </w:tcPr>
          <w:p w14:paraId="44FA31E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m³</w:t>
            </w:r>
          </w:p>
        </w:tc>
        <w:tc>
          <w:tcPr>
            <w:tcW w:w="1496" w:type="pct"/>
            <w:vAlign w:val="center"/>
          </w:tcPr>
          <w:p w14:paraId="6EF5B1C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采伐</w:t>
            </w:r>
            <w:r>
              <w:rPr>
                <w:rFonts w:hint="default" w:ascii="Arial Narrow" w:hAnsi="Arial Narrow" w:eastAsia="楷体" w:cs="Arial Narrow"/>
                <w:bCs/>
                <w:kern w:val="0"/>
                <w:sz w:val="21"/>
                <w:szCs w:val="21"/>
                <w:vertAlign w:val="baseline"/>
                <w:lang w:val="en-US" w:eastAsia="zh-CN"/>
              </w:rPr>
              <w:t>打枝造材</w:t>
            </w:r>
            <w:r>
              <w:rPr>
                <w:rFonts w:hint="eastAsia" w:ascii="Arial Narrow" w:hAnsi="Arial Narrow" w:eastAsia="楷体" w:cs="Arial Narrow"/>
                <w:bCs/>
                <w:kern w:val="0"/>
                <w:sz w:val="21"/>
                <w:szCs w:val="21"/>
                <w:vertAlign w:val="baseline"/>
                <w:lang w:val="en-US" w:eastAsia="zh-CN"/>
              </w:rPr>
              <w:t>运输等</w:t>
            </w:r>
          </w:p>
        </w:tc>
        <w:tc>
          <w:tcPr>
            <w:tcW w:w="1238" w:type="pct"/>
            <w:vAlign w:val="center"/>
          </w:tcPr>
          <w:p w14:paraId="2BF672D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w:t>
            </w:r>
            <w:r>
              <w:rPr>
                <w:rFonts w:hint="eastAsia" w:ascii="Arial Narrow" w:hAnsi="Arial Narrow" w:eastAsia="楷体" w:cs="Arial Narrow"/>
                <w:bCs/>
                <w:kern w:val="0"/>
                <w:sz w:val="21"/>
                <w:szCs w:val="21"/>
                <w:vertAlign w:val="baseline"/>
                <w:lang w:val="en-US" w:eastAsia="zh-CN"/>
              </w:rPr>
              <w:t>2</w:t>
            </w:r>
          </w:p>
        </w:tc>
      </w:tr>
      <w:tr w14:paraId="477B8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26" w:type="pct"/>
            <w:vMerge w:val="restart"/>
            <w:vAlign w:val="center"/>
          </w:tcPr>
          <w:p w14:paraId="30619F9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2</w:t>
            </w:r>
          </w:p>
        </w:tc>
        <w:tc>
          <w:tcPr>
            <w:tcW w:w="1128" w:type="pct"/>
            <w:vMerge w:val="restart"/>
            <w:vAlign w:val="center"/>
          </w:tcPr>
          <w:p w14:paraId="0BDA8130">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采伐剩余物处理</w:t>
            </w:r>
          </w:p>
        </w:tc>
        <w:tc>
          <w:tcPr>
            <w:tcW w:w="709" w:type="pct"/>
            <w:vMerge w:val="restart"/>
            <w:vAlign w:val="center"/>
          </w:tcPr>
          <w:p w14:paraId="0143624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吨</w:t>
            </w:r>
          </w:p>
        </w:tc>
        <w:tc>
          <w:tcPr>
            <w:tcW w:w="1496" w:type="pct"/>
            <w:vAlign w:val="center"/>
          </w:tcPr>
          <w:p w14:paraId="32ACADA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机械</w:t>
            </w:r>
          </w:p>
        </w:tc>
        <w:tc>
          <w:tcPr>
            <w:tcW w:w="1238" w:type="pct"/>
            <w:vAlign w:val="center"/>
          </w:tcPr>
          <w:p w14:paraId="616AB59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0.</w:t>
            </w:r>
            <w:r>
              <w:rPr>
                <w:rFonts w:hint="eastAsia" w:ascii="Arial Narrow" w:hAnsi="Arial Narrow" w:eastAsia="楷体" w:cs="Arial Narrow"/>
                <w:bCs/>
                <w:kern w:val="0"/>
                <w:sz w:val="21"/>
                <w:szCs w:val="21"/>
                <w:vertAlign w:val="baseline"/>
                <w:lang w:val="en-US" w:eastAsia="zh-CN"/>
              </w:rPr>
              <w:t>5</w:t>
            </w:r>
          </w:p>
        </w:tc>
      </w:tr>
      <w:tr w14:paraId="23485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26" w:type="pct"/>
            <w:vMerge w:val="continue"/>
            <w:vAlign w:val="center"/>
          </w:tcPr>
          <w:p w14:paraId="63ACF95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p>
        </w:tc>
        <w:tc>
          <w:tcPr>
            <w:tcW w:w="1128" w:type="pct"/>
            <w:vMerge w:val="continue"/>
            <w:vAlign w:val="center"/>
          </w:tcPr>
          <w:p w14:paraId="05F3E8A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p>
        </w:tc>
        <w:tc>
          <w:tcPr>
            <w:tcW w:w="709" w:type="pct"/>
            <w:vMerge w:val="continue"/>
            <w:vAlign w:val="center"/>
          </w:tcPr>
          <w:p w14:paraId="634BCD6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p>
        </w:tc>
        <w:tc>
          <w:tcPr>
            <w:tcW w:w="1496" w:type="pct"/>
            <w:vAlign w:val="center"/>
          </w:tcPr>
          <w:p w14:paraId="15F45EE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人工</w:t>
            </w:r>
          </w:p>
        </w:tc>
        <w:tc>
          <w:tcPr>
            <w:tcW w:w="1238" w:type="pct"/>
            <w:vAlign w:val="center"/>
          </w:tcPr>
          <w:p w14:paraId="3A30410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0.950</w:t>
            </w:r>
          </w:p>
        </w:tc>
      </w:tr>
      <w:tr w14:paraId="47F62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26" w:type="pct"/>
            <w:vMerge w:val="restart"/>
            <w:vAlign w:val="center"/>
          </w:tcPr>
          <w:p w14:paraId="6F7EFCC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3</w:t>
            </w:r>
          </w:p>
        </w:tc>
        <w:tc>
          <w:tcPr>
            <w:tcW w:w="1128" w:type="pct"/>
            <w:vMerge w:val="restart"/>
            <w:vAlign w:val="center"/>
          </w:tcPr>
          <w:p w14:paraId="7DF2559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全林地清理</w:t>
            </w:r>
          </w:p>
        </w:tc>
        <w:tc>
          <w:tcPr>
            <w:tcW w:w="709" w:type="pct"/>
            <w:vMerge w:val="restart"/>
            <w:vAlign w:val="center"/>
          </w:tcPr>
          <w:p w14:paraId="499B2DC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亩</w:t>
            </w:r>
          </w:p>
        </w:tc>
        <w:tc>
          <w:tcPr>
            <w:tcW w:w="1496" w:type="pct"/>
            <w:vAlign w:val="center"/>
          </w:tcPr>
          <w:p w14:paraId="3056FEA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草丛、草灌</w:t>
            </w:r>
          </w:p>
        </w:tc>
        <w:tc>
          <w:tcPr>
            <w:tcW w:w="1238" w:type="pct"/>
            <w:vAlign w:val="center"/>
          </w:tcPr>
          <w:p w14:paraId="454D536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机械+人工各0.185</w:t>
            </w:r>
          </w:p>
        </w:tc>
      </w:tr>
      <w:tr w14:paraId="4604D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26" w:type="pct"/>
            <w:vMerge w:val="continue"/>
            <w:vAlign w:val="center"/>
          </w:tcPr>
          <w:p w14:paraId="24A0AF8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p>
        </w:tc>
        <w:tc>
          <w:tcPr>
            <w:tcW w:w="1128" w:type="pct"/>
            <w:vMerge w:val="continue"/>
            <w:vAlign w:val="center"/>
          </w:tcPr>
          <w:p w14:paraId="155EF69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p>
        </w:tc>
        <w:tc>
          <w:tcPr>
            <w:tcW w:w="709" w:type="pct"/>
            <w:vMerge w:val="continue"/>
            <w:vAlign w:val="center"/>
          </w:tcPr>
          <w:p w14:paraId="5F5227B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p>
        </w:tc>
        <w:tc>
          <w:tcPr>
            <w:tcW w:w="1496" w:type="pct"/>
            <w:vAlign w:val="center"/>
          </w:tcPr>
          <w:p w14:paraId="3957069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矮灌、芒杆</w:t>
            </w:r>
          </w:p>
        </w:tc>
        <w:tc>
          <w:tcPr>
            <w:tcW w:w="1238" w:type="pct"/>
            <w:vAlign w:val="center"/>
          </w:tcPr>
          <w:p w14:paraId="6375C74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机械+人工各0.247</w:t>
            </w:r>
          </w:p>
        </w:tc>
      </w:tr>
      <w:tr w14:paraId="23FA7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26" w:type="pct"/>
            <w:vMerge w:val="continue"/>
            <w:vAlign w:val="center"/>
          </w:tcPr>
          <w:p w14:paraId="65C74FF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p>
        </w:tc>
        <w:tc>
          <w:tcPr>
            <w:tcW w:w="1128" w:type="pct"/>
            <w:vMerge w:val="continue"/>
            <w:vAlign w:val="center"/>
          </w:tcPr>
          <w:p w14:paraId="5BC6C3E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p>
        </w:tc>
        <w:tc>
          <w:tcPr>
            <w:tcW w:w="709" w:type="pct"/>
            <w:vMerge w:val="continue"/>
            <w:vAlign w:val="center"/>
          </w:tcPr>
          <w:p w14:paraId="7B134D7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p>
        </w:tc>
        <w:tc>
          <w:tcPr>
            <w:tcW w:w="1496" w:type="pct"/>
            <w:vAlign w:val="center"/>
          </w:tcPr>
          <w:p w14:paraId="0A0CF30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高灌、竹薮</w:t>
            </w:r>
            <w:r>
              <w:rPr>
                <w:rFonts w:hint="eastAsia" w:ascii="Arial Narrow" w:hAnsi="Arial Narrow" w:eastAsia="楷体" w:cs="Arial Narrow"/>
                <w:bCs/>
                <w:kern w:val="0"/>
                <w:sz w:val="21"/>
                <w:szCs w:val="21"/>
                <w:vertAlign w:val="baseline"/>
                <w:lang w:val="en-US" w:eastAsia="zh-CN"/>
              </w:rPr>
              <w:t>（稀）</w:t>
            </w:r>
          </w:p>
        </w:tc>
        <w:tc>
          <w:tcPr>
            <w:tcW w:w="1238" w:type="pct"/>
            <w:vAlign w:val="center"/>
          </w:tcPr>
          <w:p w14:paraId="5A60737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机械+人工各0.346</w:t>
            </w:r>
          </w:p>
        </w:tc>
      </w:tr>
      <w:tr w14:paraId="15A54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26" w:type="pct"/>
            <w:vMerge w:val="continue"/>
            <w:vAlign w:val="center"/>
          </w:tcPr>
          <w:p w14:paraId="3DABAED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p>
        </w:tc>
        <w:tc>
          <w:tcPr>
            <w:tcW w:w="1128" w:type="pct"/>
            <w:vMerge w:val="continue"/>
            <w:vAlign w:val="center"/>
          </w:tcPr>
          <w:p w14:paraId="5535FBC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p>
        </w:tc>
        <w:tc>
          <w:tcPr>
            <w:tcW w:w="709" w:type="pct"/>
            <w:vMerge w:val="continue"/>
            <w:vAlign w:val="center"/>
          </w:tcPr>
          <w:p w14:paraId="725FD12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p>
        </w:tc>
        <w:tc>
          <w:tcPr>
            <w:tcW w:w="1496" w:type="pct"/>
            <w:vAlign w:val="center"/>
          </w:tcPr>
          <w:p w14:paraId="3446384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高灌、竹薮</w:t>
            </w:r>
            <w:r>
              <w:rPr>
                <w:rFonts w:hint="eastAsia" w:ascii="Arial Narrow" w:hAnsi="Arial Narrow" w:eastAsia="楷体" w:cs="Arial Narrow"/>
                <w:bCs/>
                <w:kern w:val="0"/>
                <w:sz w:val="21"/>
                <w:szCs w:val="21"/>
                <w:vertAlign w:val="baseline"/>
                <w:lang w:val="en-US" w:eastAsia="zh-CN"/>
              </w:rPr>
              <w:t>（密）</w:t>
            </w:r>
          </w:p>
        </w:tc>
        <w:tc>
          <w:tcPr>
            <w:tcW w:w="1238" w:type="pct"/>
            <w:vAlign w:val="center"/>
          </w:tcPr>
          <w:p w14:paraId="7AE9AB1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机械+人工各0.69</w:t>
            </w:r>
          </w:p>
        </w:tc>
      </w:tr>
      <w:tr w14:paraId="464EF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26" w:type="pct"/>
            <w:vMerge w:val="restart"/>
            <w:vAlign w:val="center"/>
          </w:tcPr>
          <w:p w14:paraId="6664451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4</w:t>
            </w:r>
          </w:p>
        </w:tc>
        <w:tc>
          <w:tcPr>
            <w:tcW w:w="1128" w:type="pct"/>
            <w:vMerge w:val="restart"/>
            <w:vAlign w:val="center"/>
          </w:tcPr>
          <w:p w14:paraId="1194203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带状整地</w:t>
            </w:r>
          </w:p>
        </w:tc>
        <w:tc>
          <w:tcPr>
            <w:tcW w:w="709" w:type="pct"/>
            <w:vMerge w:val="restart"/>
            <w:vAlign w:val="center"/>
          </w:tcPr>
          <w:p w14:paraId="14BF27D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亩</w:t>
            </w:r>
          </w:p>
        </w:tc>
        <w:tc>
          <w:tcPr>
            <w:tcW w:w="1496" w:type="pct"/>
            <w:vAlign w:val="center"/>
          </w:tcPr>
          <w:p w14:paraId="6522C7E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机械台班</w:t>
            </w:r>
          </w:p>
        </w:tc>
        <w:tc>
          <w:tcPr>
            <w:tcW w:w="1238" w:type="pct"/>
            <w:vAlign w:val="center"/>
          </w:tcPr>
          <w:p w14:paraId="38995E1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0.85</w:t>
            </w:r>
          </w:p>
        </w:tc>
      </w:tr>
      <w:tr w14:paraId="69CD6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26" w:type="pct"/>
            <w:vMerge w:val="continue"/>
            <w:vAlign w:val="center"/>
          </w:tcPr>
          <w:p w14:paraId="64E7FB3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p>
        </w:tc>
        <w:tc>
          <w:tcPr>
            <w:tcW w:w="1128" w:type="pct"/>
            <w:vMerge w:val="continue"/>
            <w:vAlign w:val="center"/>
          </w:tcPr>
          <w:p w14:paraId="571A6D60">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p>
        </w:tc>
        <w:tc>
          <w:tcPr>
            <w:tcW w:w="709" w:type="pct"/>
            <w:vMerge w:val="continue"/>
            <w:vAlign w:val="center"/>
          </w:tcPr>
          <w:p w14:paraId="27D473C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p>
        </w:tc>
        <w:tc>
          <w:tcPr>
            <w:tcW w:w="1496" w:type="pct"/>
            <w:vAlign w:val="center"/>
          </w:tcPr>
          <w:p w14:paraId="09279900">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一类人工</w:t>
            </w:r>
          </w:p>
        </w:tc>
        <w:tc>
          <w:tcPr>
            <w:tcW w:w="1238" w:type="pct"/>
            <w:vAlign w:val="center"/>
          </w:tcPr>
          <w:p w14:paraId="67E848F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1.2</w:t>
            </w:r>
          </w:p>
        </w:tc>
      </w:tr>
      <w:tr w14:paraId="1219E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26" w:type="pct"/>
            <w:vAlign w:val="center"/>
          </w:tcPr>
          <w:p w14:paraId="5CCB516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5</w:t>
            </w:r>
          </w:p>
        </w:tc>
        <w:tc>
          <w:tcPr>
            <w:tcW w:w="1128" w:type="pct"/>
            <w:vAlign w:val="center"/>
          </w:tcPr>
          <w:p w14:paraId="3A2F666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块状整地</w:t>
            </w:r>
          </w:p>
        </w:tc>
        <w:tc>
          <w:tcPr>
            <w:tcW w:w="709" w:type="pct"/>
            <w:vAlign w:val="center"/>
          </w:tcPr>
          <w:p w14:paraId="3C58769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100块</w:t>
            </w:r>
          </w:p>
        </w:tc>
        <w:tc>
          <w:tcPr>
            <w:tcW w:w="1496" w:type="pct"/>
            <w:vAlign w:val="center"/>
          </w:tcPr>
          <w:p w14:paraId="0907090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杂灌、芒秆1×1m</w:t>
            </w:r>
          </w:p>
        </w:tc>
        <w:tc>
          <w:tcPr>
            <w:tcW w:w="1238" w:type="pct"/>
            <w:vAlign w:val="center"/>
          </w:tcPr>
          <w:p w14:paraId="3A8A599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1.638</w:t>
            </w:r>
          </w:p>
        </w:tc>
      </w:tr>
      <w:tr w14:paraId="6E9E1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26" w:type="pct"/>
            <w:vAlign w:val="center"/>
          </w:tcPr>
          <w:p w14:paraId="068726D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6</w:t>
            </w:r>
          </w:p>
        </w:tc>
        <w:tc>
          <w:tcPr>
            <w:tcW w:w="1128" w:type="pct"/>
            <w:vAlign w:val="center"/>
          </w:tcPr>
          <w:p w14:paraId="4A6632A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整地后挖穴</w:t>
            </w:r>
          </w:p>
        </w:tc>
        <w:tc>
          <w:tcPr>
            <w:tcW w:w="709" w:type="pct"/>
            <w:vAlign w:val="center"/>
          </w:tcPr>
          <w:p w14:paraId="46D11B6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10穴</w:t>
            </w:r>
          </w:p>
        </w:tc>
        <w:tc>
          <w:tcPr>
            <w:tcW w:w="1496" w:type="pct"/>
            <w:vAlign w:val="center"/>
          </w:tcPr>
          <w:p w14:paraId="499B78A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一二类土</w:t>
            </w:r>
          </w:p>
        </w:tc>
        <w:tc>
          <w:tcPr>
            <w:tcW w:w="1238" w:type="pct"/>
            <w:vAlign w:val="center"/>
          </w:tcPr>
          <w:p w14:paraId="3F37D49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0.383</w:t>
            </w:r>
          </w:p>
        </w:tc>
      </w:tr>
      <w:tr w14:paraId="48B9B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26" w:type="pct"/>
            <w:vAlign w:val="center"/>
          </w:tcPr>
          <w:p w14:paraId="05991D8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7</w:t>
            </w:r>
          </w:p>
        </w:tc>
        <w:tc>
          <w:tcPr>
            <w:tcW w:w="1128" w:type="pct"/>
            <w:vAlign w:val="center"/>
          </w:tcPr>
          <w:p w14:paraId="3CB3BFF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肥料上山</w:t>
            </w:r>
          </w:p>
        </w:tc>
        <w:tc>
          <w:tcPr>
            <w:tcW w:w="709" w:type="pct"/>
            <w:vAlign w:val="center"/>
          </w:tcPr>
          <w:p w14:paraId="1DFCFDF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吨</w:t>
            </w:r>
          </w:p>
        </w:tc>
        <w:tc>
          <w:tcPr>
            <w:tcW w:w="1496" w:type="pct"/>
            <w:vAlign w:val="center"/>
          </w:tcPr>
          <w:p w14:paraId="2AE99F40">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50米基准距离</w:t>
            </w:r>
          </w:p>
        </w:tc>
        <w:tc>
          <w:tcPr>
            <w:tcW w:w="1238" w:type="pct"/>
            <w:vAlign w:val="center"/>
          </w:tcPr>
          <w:p w14:paraId="71E3E1F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0.441</w:t>
            </w:r>
          </w:p>
        </w:tc>
      </w:tr>
      <w:tr w14:paraId="197C0E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26" w:type="pct"/>
            <w:vAlign w:val="center"/>
          </w:tcPr>
          <w:p w14:paraId="687C2F9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8</w:t>
            </w:r>
          </w:p>
        </w:tc>
        <w:tc>
          <w:tcPr>
            <w:tcW w:w="1128" w:type="pct"/>
            <w:vAlign w:val="center"/>
          </w:tcPr>
          <w:p w14:paraId="6C286F4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苗木上山</w:t>
            </w:r>
          </w:p>
        </w:tc>
        <w:tc>
          <w:tcPr>
            <w:tcW w:w="709" w:type="pct"/>
            <w:vAlign w:val="center"/>
          </w:tcPr>
          <w:p w14:paraId="0B5B04F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100株</w:t>
            </w:r>
          </w:p>
        </w:tc>
        <w:tc>
          <w:tcPr>
            <w:tcW w:w="1496" w:type="pct"/>
            <w:vAlign w:val="center"/>
          </w:tcPr>
          <w:p w14:paraId="208B437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小苗，500米基距</w:t>
            </w:r>
          </w:p>
        </w:tc>
        <w:tc>
          <w:tcPr>
            <w:tcW w:w="1238" w:type="pct"/>
            <w:vAlign w:val="center"/>
          </w:tcPr>
          <w:p w14:paraId="0C3D07D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0.88</w:t>
            </w:r>
          </w:p>
        </w:tc>
      </w:tr>
      <w:tr w14:paraId="1127A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26" w:type="pct"/>
            <w:vMerge w:val="restart"/>
            <w:vAlign w:val="center"/>
          </w:tcPr>
          <w:p w14:paraId="342FB25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9</w:t>
            </w:r>
          </w:p>
        </w:tc>
        <w:tc>
          <w:tcPr>
            <w:tcW w:w="1128" w:type="pct"/>
            <w:vMerge w:val="restart"/>
            <w:vAlign w:val="center"/>
          </w:tcPr>
          <w:p w14:paraId="69A632D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经济林苗木定植</w:t>
            </w:r>
          </w:p>
        </w:tc>
        <w:tc>
          <w:tcPr>
            <w:tcW w:w="709" w:type="pct"/>
            <w:vMerge w:val="restart"/>
            <w:vAlign w:val="center"/>
          </w:tcPr>
          <w:p w14:paraId="137F124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10穴</w:t>
            </w:r>
          </w:p>
        </w:tc>
        <w:tc>
          <w:tcPr>
            <w:tcW w:w="1496" w:type="pct"/>
            <w:vAlign w:val="center"/>
          </w:tcPr>
          <w:p w14:paraId="231D99F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坡度＞25°</w:t>
            </w:r>
          </w:p>
        </w:tc>
        <w:tc>
          <w:tcPr>
            <w:tcW w:w="1238" w:type="pct"/>
            <w:vAlign w:val="center"/>
          </w:tcPr>
          <w:p w14:paraId="3509E86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0.315</w:t>
            </w:r>
          </w:p>
        </w:tc>
      </w:tr>
      <w:tr w14:paraId="2A09A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26" w:type="pct"/>
            <w:vMerge w:val="continue"/>
            <w:vAlign w:val="center"/>
          </w:tcPr>
          <w:p w14:paraId="25CE9C1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p>
        </w:tc>
        <w:tc>
          <w:tcPr>
            <w:tcW w:w="1128" w:type="pct"/>
            <w:vMerge w:val="continue"/>
            <w:vAlign w:val="center"/>
          </w:tcPr>
          <w:p w14:paraId="59091F5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p>
        </w:tc>
        <w:tc>
          <w:tcPr>
            <w:tcW w:w="709" w:type="pct"/>
            <w:vMerge w:val="continue"/>
            <w:vAlign w:val="center"/>
          </w:tcPr>
          <w:p w14:paraId="5278DD7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p>
        </w:tc>
        <w:tc>
          <w:tcPr>
            <w:tcW w:w="1496" w:type="pct"/>
            <w:vAlign w:val="center"/>
          </w:tcPr>
          <w:p w14:paraId="30F79F7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坡度≤25°</w:t>
            </w:r>
          </w:p>
        </w:tc>
        <w:tc>
          <w:tcPr>
            <w:tcW w:w="1238" w:type="pct"/>
            <w:vAlign w:val="center"/>
          </w:tcPr>
          <w:p w14:paraId="2D7D69F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0.315</w:t>
            </w:r>
          </w:p>
        </w:tc>
      </w:tr>
      <w:tr w14:paraId="11B4F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26" w:type="pct"/>
            <w:vAlign w:val="center"/>
          </w:tcPr>
          <w:p w14:paraId="0E782C6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10</w:t>
            </w:r>
          </w:p>
        </w:tc>
        <w:tc>
          <w:tcPr>
            <w:tcW w:w="1128" w:type="pct"/>
            <w:vAlign w:val="center"/>
          </w:tcPr>
          <w:p w14:paraId="2137889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经济林苗木抚育</w:t>
            </w:r>
          </w:p>
        </w:tc>
        <w:tc>
          <w:tcPr>
            <w:tcW w:w="709" w:type="pct"/>
            <w:vAlign w:val="center"/>
          </w:tcPr>
          <w:p w14:paraId="5E4BE1F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100株/年</w:t>
            </w:r>
          </w:p>
        </w:tc>
        <w:tc>
          <w:tcPr>
            <w:tcW w:w="1496" w:type="pct"/>
            <w:vAlign w:val="center"/>
          </w:tcPr>
          <w:p w14:paraId="7672440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经济树种</w:t>
            </w:r>
          </w:p>
        </w:tc>
        <w:tc>
          <w:tcPr>
            <w:tcW w:w="1238" w:type="pct"/>
            <w:vAlign w:val="center"/>
          </w:tcPr>
          <w:p w14:paraId="0A7C742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3.575</w:t>
            </w:r>
          </w:p>
        </w:tc>
      </w:tr>
      <w:tr w14:paraId="12FE9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26" w:type="pct"/>
            <w:vAlign w:val="center"/>
          </w:tcPr>
          <w:p w14:paraId="54930A0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11</w:t>
            </w:r>
          </w:p>
        </w:tc>
        <w:tc>
          <w:tcPr>
            <w:tcW w:w="1128" w:type="pct"/>
            <w:vAlign w:val="center"/>
          </w:tcPr>
          <w:p w14:paraId="71C72C3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日常巡护管理</w:t>
            </w:r>
          </w:p>
        </w:tc>
        <w:tc>
          <w:tcPr>
            <w:tcW w:w="709" w:type="pct"/>
            <w:vAlign w:val="center"/>
          </w:tcPr>
          <w:p w14:paraId="203F4FB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亩</w:t>
            </w:r>
          </w:p>
        </w:tc>
        <w:tc>
          <w:tcPr>
            <w:tcW w:w="1496" w:type="pct"/>
            <w:vAlign w:val="center"/>
          </w:tcPr>
          <w:p w14:paraId="1BFE711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w:t>
            </w:r>
          </w:p>
        </w:tc>
        <w:tc>
          <w:tcPr>
            <w:tcW w:w="1238" w:type="pct"/>
            <w:vAlign w:val="center"/>
          </w:tcPr>
          <w:p w14:paraId="099D678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0.2</w:t>
            </w:r>
            <w:r>
              <w:rPr>
                <w:rFonts w:hint="eastAsia" w:ascii="Arial Narrow" w:hAnsi="Arial Narrow" w:eastAsia="楷体" w:cs="Arial Narrow"/>
                <w:bCs/>
                <w:kern w:val="0"/>
                <w:sz w:val="21"/>
                <w:szCs w:val="21"/>
                <w:vertAlign w:val="baseline"/>
                <w:lang w:val="en-US" w:eastAsia="zh-CN"/>
              </w:rPr>
              <w:t>88</w:t>
            </w:r>
          </w:p>
        </w:tc>
      </w:tr>
    </w:tbl>
    <w:p w14:paraId="4C5C44D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根据各工序人工（或机械）单位消耗量定额统计，项目总人工用量16725.55工日，机械960.487台班。各小班物资及工程量明细详见附表2。汇总如下：</w:t>
      </w:r>
    </w:p>
    <w:p w14:paraId="5AC47C46">
      <w:pPr>
        <w:pStyle w:val="9"/>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楷体" w:hAnsi="楷体" w:eastAsia="楷体" w:cs="楷体"/>
          <w:b/>
          <w:bCs w:val="0"/>
          <w:kern w:val="0"/>
          <w:sz w:val="24"/>
          <w:szCs w:val="24"/>
          <w:lang w:val="en-US" w:eastAsia="zh-CN"/>
        </w:rPr>
      </w:pPr>
      <w:r>
        <w:rPr>
          <w:rFonts w:hint="eastAsia" w:ascii="楷体" w:hAnsi="楷体" w:eastAsia="楷体" w:cs="楷体"/>
          <w:b/>
          <w:bCs w:val="0"/>
          <w:kern w:val="0"/>
          <w:sz w:val="24"/>
          <w:szCs w:val="24"/>
          <w:lang w:val="en-US" w:eastAsia="zh-CN"/>
        </w:rPr>
        <w:t>表11-6 各乡镇人工（或机械）消耗量汇总表</w:t>
      </w:r>
    </w:p>
    <w:p w14:paraId="7EC3DB1D">
      <w:pPr>
        <w:pStyle w:val="9"/>
        <w:keepNext w:val="0"/>
        <w:keepLines w:val="0"/>
        <w:pageBreakBefore w:val="0"/>
        <w:widowControl w:val="0"/>
        <w:kinsoku/>
        <w:wordWrap/>
        <w:overflowPunct/>
        <w:topLinePunct w:val="0"/>
        <w:autoSpaceDE/>
        <w:autoSpaceDN/>
        <w:bidi w:val="0"/>
        <w:adjustRightInd/>
        <w:snapToGrid/>
        <w:spacing w:line="360" w:lineRule="auto"/>
        <w:ind w:firstLine="0" w:firstLineChars="0"/>
        <w:jc w:val="right"/>
        <w:textAlignment w:val="auto"/>
        <w:rPr>
          <w:rFonts w:hint="eastAsia" w:ascii="楷体" w:hAnsi="楷体" w:eastAsia="楷体" w:cs="楷体"/>
          <w:b w:val="0"/>
          <w:bCs/>
          <w:kern w:val="0"/>
          <w:sz w:val="21"/>
          <w:szCs w:val="21"/>
          <w:lang w:val="en-US" w:eastAsia="zh-CN"/>
        </w:rPr>
      </w:pPr>
      <w:r>
        <w:rPr>
          <w:rFonts w:hint="eastAsia" w:ascii="楷体" w:hAnsi="楷体" w:eastAsia="楷体" w:cs="楷体"/>
          <w:b w:val="0"/>
          <w:bCs/>
          <w:kern w:val="0"/>
          <w:sz w:val="21"/>
          <w:szCs w:val="21"/>
          <w:lang w:val="en-US" w:eastAsia="zh-CN"/>
        </w:rPr>
        <w:t>工日、台班</w:t>
      </w:r>
    </w:p>
    <w:tbl>
      <w:tblPr>
        <w:tblStyle w:val="2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2"/>
        <w:gridCol w:w="3935"/>
        <w:gridCol w:w="1751"/>
        <w:gridCol w:w="1751"/>
      </w:tblGrid>
      <w:tr w14:paraId="5F8CF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blHeader/>
        </w:trPr>
        <w:tc>
          <w:tcPr>
            <w:tcW w:w="635" w:type="pct"/>
          </w:tcPr>
          <w:p w14:paraId="2DA2F94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序号</w:t>
            </w:r>
          </w:p>
        </w:tc>
        <w:tc>
          <w:tcPr>
            <w:tcW w:w="2309" w:type="pct"/>
          </w:tcPr>
          <w:p w14:paraId="3635380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类别</w:t>
            </w:r>
          </w:p>
        </w:tc>
        <w:tc>
          <w:tcPr>
            <w:tcW w:w="1027" w:type="pct"/>
            <w:vAlign w:val="center"/>
          </w:tcPr>
          <w:p w14:paraId="12683EE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eastAsia" w:ascii="Arial Narrow" w:hAnsi="Arial Narrow" w:eastAsia="楷体" w:cs="Arial Narrow"/>
                <w:b/>
                <w:bCs w:val="0"/>
                <w:kern w:val="0"/>
                <w:sz w:val="21"/>
                <w:szCs w:val="21"/>
                <w:vertAlign w:val="baseline"/>
                <w:lang w:val="en-US" w:eastAsia="zh-CN"/>
              </w:rPr>
              <w:t>白石镇</w:t>
            </w:r>
          </w:p>
        </w:tc>
        <w:tc>
          <w:tcPr>
            <w:tcW w:w="1027" w:type="pct"/>
            <w:vAlign w:val="center"/>
          </w:tcPr>
          <w:p w14:paraId="3C7AF9C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合计</w:t>
            </w:r>
          </w:p>
        </w:tc>
      </w:tr>
      <w:tr w14:paraId="2EEB7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7E3F8EB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w:t>
            </w:r>
          </w:p>
        </w:tc>
        <w:tc>
          <w:tcPr>
            <w:tcW w:w="2309" w:type="pct"/>
            <w:vAlign w:val="center"/>
          </w:tcPr>
          <w:p w14:paraId="7F6C1C52">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乔木林采伐</w:t>
            </w:r>
          </w:p>
        </w:tc>
        <w:tc>
          <w:tcPr>
            <w:tcW w:w="1751" w:type="dxa"/>
            <w:vAlign w:val="center"/>
          </w:tcPr>
          <w:p w14:paraId="717B03F8">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3880.32</w:t>
            </w:r>
          </w:p>
        </w:tc>
        <w:tc>
          <w:tcPr>
            <w:tcW w:w="1751" w:type="dxa"/>
            <w:vAlign w:val="center"/>
          </w:tcPr>
          <w:p w14:paraId="697E1FA8">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3880.32</w:t>
            </w:r>
          </w:p>
        </w:tc>
      </w:tr>
      <w:tr w14:paraId="514BA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627819A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2</w:t>
            </w:r>
          </w:p>
        </w:tc>
        <w:tc>
          <w:tcPr>
            <w:tcW w:w="2309" w:type="pct"/>
            <w:vAlign w:val="center"/>
          </w:tcPr>
          <w:p w14:paraId="041C283F">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竹子采运</w:t>
            </w:r>
          </w:p>
        </w:tc>
        <w:tc>
          <w:tcPr>
            <w:tcW w:w="1751" w:type="dxa"/>
            <w:vAlign w:val="center"/>
          </w:tcPr>
          <w:p w14:paraId="4676D25C">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22.651</w:t>
            </w:r>
          </w:p>
        </w:tc>
        <w:tc>
          <w:tcPr>
            <w:tcW w:w="1751" w:type="dxa"/>
            <w:vAlign w:val="center"/>
          </w:tcPr>
          <w:p w14:paraId="47236A90">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22.651</w:t>
            </w:r>
          </w:p>
        </w:tc>
      </w:tr>
      <w:tr w14:paraId="4D698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67F17F4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3</w:t>
            </w:r>
          </w:p>
        </w:tc>
        <w:tc>
          <w:tcPr>
            <w:tcW w:w="2309" w:type="pct"/>
            <w:vAlign w:val="center"/>
          </w:tcPr>
          <w:p w14:paraId="77D5FC9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采伐剩余物处理</w:t>
            </w:r>
            <w:r>
              <w:rPr>
                <w:rFonts w:hint="eastAsia" w:ascii="Arial Narrow" w:hAnsi="Arial Narrow" w:eastAsia="楷体" w:cs="Arial Narrow"/>
                <w:bCs/>
                <w:kern w:val="0"/>
                <w:sz w:val="21"/>
                <w:szCs w:val="21"/>
                <w:vertAlign w:val="baseline"/>
                <w:lang w:val="en-US" w:eastAsia="zh-CN"/>
              </w:rPr>
              <w:t>（人）</w:t>
            </w:r>
          </w:p>
        </w:tc>
        <w:tc>
          <w:tcPr>
            <w:tcW w:w="1751" w:type="dxa"/>
            <w:vAlign w:val="center"/>
          </w:tcPr>
          <w:p w14:paraId="48B4C2BE">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709.057</w:t>
            </w:r>
          </w:p>
        </w:tc>
        <w:tc>
          <w:tcPr>
            <w:tcW w:w="1751" w:type="dxa"/>
            <w:vAlign w:val="center"/>
          </w:tcPr>
          <w:p w14:paraId="3ECCF476">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709.057</w:t>
            </w:r>
          </w:p>
        </w:tc>
      </w:tr>
      <w:tr w14:paraId="10C03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0986FA4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4</w:t>
            </w:r>
          </w:p>
        </w:tc>
        <w:tc>
          <w:tcPr>
            <w:tcW w:w="2309" w:type="pct"/>
            <w:vAlign w:val="center"/>
          </w:tcPr>
          <w:p w14:paraId="637E6FC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采伐剩余物处理</w:t>
            </w:r>
            <w:r>
              <w:rPr>
                <w:rFonts w:hint="eastAsia" w:ascii="Arial Narrow" w:hAnsi="Arial Narrow" w:eastAsia="楷体" w:cs="Arial Narrow"/>
                <w:bCs/>
                <w:kern w:val="0"/>
                <w:sz w:val="21"/>
                <w:szCs w:val="21"/>
                <w:vertAlign w:val="baseline"/>
                <w:lang w:val="en-US" w:eastAsia="zh-CN"/>
              </w:rPr>
              <w:t>（机）</w:t>
            </w:r>
          </w:p>
        </w:tc>
        <w:tc>
          <w:tcPr>
            <w:tcW w:w="1751" w:type="dxa"/>
            <w:vAlign w:val="center"/>
          </w:tcPr>
          <w:p w14:paraId="4636E68E">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373.191</w:t>
            </w:r>
          </w:p>
        </w:tc>
        <w:tc>
          <w:tcPr>
            <w:tcW w:w="1751" w:type="dxa"/>
            <w:vAlign w:val="center"/>
          </w:tcPr>
          <w:p w14:paraId="3870881E">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373.191</w:t>
            </w:r>
          </w:p>
        </w:tc>
      </w:tr>
      <w:tr w14:paraId="730B4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3166647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5</w:t>
            </w:r>
          </w:p>
        </w:tc>
        <w:tc>
          <w:tcPr>
            <w:tcW w:w="2309" w:type="pct"/>
            <w:vAlign w:val="center"/>
          </w:tcPr>
          <w:p w14:paraId="2579C9C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林地清理（竹薮型，人）</w:t>
            </w:r>
          </w:p>
        </w:tc>
        <w:tc>
          <w:tcPr>
            <w:tcW w:w="1751" w:type="dxa"/>
            <w:vAlign w:val="center"/>
          </w:tcPr>
          <w:p w14:paraId="5CABAF75">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12.475</w:t>
            </w:r>
          </w:p>
        </w:tc>
        <w:tc>
          <w:tcPr>
            <w:tcW w:w="1751" w:type="dxa"/>
            <w:vAlign w:val="center"/>
          </w:tcPr>
          <w:p w14:paraId="5A1D09B9">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12.475</w:t>
            </w:r>
          </w:p>
        </w:tc>
      </w:tr>
      <w:tr w14:paraId="2CB12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2E896B6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6</w:t>
            </w:r>
          </w:p>
        </w:tc>
        <w:tc>
          <w:tcPr>
            <w:tcW w:w="2309" w:type="pct"/>
            <w:vAlign w:val="center"/>
          </w:tcPr>
          <w:p w14:paraId="4B8A78E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林地清理（竹薮型，机）</w:t>
            </w:r>
          </w:p>
        </w:tc>
        <w:tc>
          <w:tcPr>
            <w:tcW w:w="1751" w:type="dxa"/>
            <w:vAlign w:val="center"/>
          </w:tcPr>
          <w:p w14:paraId="32A9F4E5">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12.475</w:t>
            </w:r>
          </w:p>
        </w:tc>
        <w:tc>
          <w:tcPr>
            <w:tcW w:w="1751" w:type="dxa"/>
            <w:vAlign w:val="center"/>
          </w:tcPr>
          <w:p w14:paraId="2020BB82">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12.475</w:t>
            </w:r>
          </w:p>
        </w:tc>
      </w:tr>
      <w:tr w14:paraId="115E1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439AF93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7</w:t>
            </w:r>
          </w:p>
        </w:tc>
        <w:tc>
          <w:tcPr>
            <w:tcW w:w="2309" w:type="pct"/>
            <w:vAlign w:val="center"/>
          </w:tcPr>
          <w:p w14:paraId="0A64D81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林地清理（高灌型，人）</w:t>
            </w:r>
          </w:p>
        </w:tc>
        <w:tc>
          <w:tcPr>
            <w:tcW w:w="1751" w:type="dxa"/>
            <w:vAlign w:val="center"/>
          </w:tcPr>
          <w:p w14:paraId="576EB9CC">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25.02</w:t>
            </w:r>
          </w:p>
        </w:tc>
        <w:tc>
          <w:tcPr>
            <w:tcW w:w="1751" w:type="dxa"/>
            <w:vAlign w:val="center"/>
          </w:tcPr>
          <w:p w14:paraId="54615A4C">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25.02</w:t>
            </w:r>
          </w:p>
        </w:tc>
      </w:tr>
      <w:tr w14:paraId="69F64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02A6AB5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8</w:t>
            </w:r>
          </w:p>
        </w:tc>
        <w:tc>
          <w:tcPr>
            <w:tcW w:w="2309" w:type="pct"/>
            <w:vAlign w:val="center"/>
          </w:tcPr>
          <w:p w14:paraId="32E4C83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林地清理（高灌型，机）</w:t>
            </w:r>
          </w:p>
        </w:tc>
        <w:tc>
          <w:tcPr>
            <w:tcW w:w="1751" w:type="dxa"/>
            <w:vAlign w:val="center"/>
          </w:tcPr>
          <w:p w14:paraId="4B260FB7">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25.02</w:t>
            </w:r>
          </w:p>
        </w:tc>
        <w:tc>
          <w:tcPr>
            <w:tcW w:w="1751" w:type="dxa"/>
            <w:vAlign w:val="center"/>
          </w:tcPr>
          <w:p w14:paraId="252D4152">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25.02</w:t>
            </w:r>
          </w:p>
        </w:tc>
      </w:tr>
      <w:tr w14:paraId="6AB6F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09D1770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9</w:t>
            </w:r>
          </w:p>
        </w:tc>
        <w:tc>
          <w:tcPr>
            <w:tcW w:w="2309" w:type="pct"/>
            <w:vAlign w:val="center"/>
          </w:tcPr>
          <w:p w14:paraId="56F74E8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林地清理（草灌型，人）</w:t>
            </w:r>
          </w:p>
        </w:tc>
        <w:tc>
          <w:tcPr>
            <w:tcW w:w="1751" w:type="dxa"/>
            <w:vAlign w:val="center"/>
          </w:tcPr>
          <w:p w14:paraId="3C62BEDC">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144.351</w:t>
            </w:r>
          </w:p>
        </w:tc>
        <w:tc>
          <w:tcPr>
            <w:tcW w:w="1751" w:type="dxa"/>
            <w:vAlign w:val="center"/>
          </w:tcPr>
          <w:p w14:paraId="5068FC54">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144.351</w:t>
            </w:r>
          </w:p>
        </w:tc>
      </w:tr>
      <w:tr w14:paraId="17A70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3793883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10</w:t>
            </w:r>
          </w:p>
        </w:tc>
        <w:tc>
          <w:tcPr>
            <w:tcW w:w="2309" w:type="pct"/>
            <w:vAlign w:val="center"/>
          </w:tcPr>
          <w:p w14:paraId="696F067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林地清理（草灌型，机）</w:t>
            </w:r>
          </w:p>
        </w:tc>
        <w:tc>
          <w:tcPr>
            <w:tcW w:w="1751" w:type="dxa"/>
            <w:vAlign w:val="center"/>
          </w:tcPr>
          <w:p w14:paraId="08B4BE75">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144.351</w:t>
            </w:r>
          </w:p>
        </w:tc>
        <w:tc>
          <w:tcPr>
            <w:tcW w:w="1751" w:type="dxa"/>
            <w:vAlign w:val="center"/>
          </w:tcPr>
          <w:p w14:paraId="62FFF5BA">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144.351</w:t>
            </w:r>
          </w:p>
        </w:tc>
      </w:tr>
      <w:tr w14:paraId="7325D5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38455C3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11</w:t>
            </w:r>
          </w:p>
        </w:tc>
        <w:tc>
          <w:tcPr>
            <w:tcW w:w="2309" w:type="pct"/>
            <w:vAlign w:val="center"/>
          </w:tcPr>
          <w:p w14:paraId="0AC5E29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带状整地（人工）</w:t>
            </w:r>
          </w:p>
        </w:tc>
        <w:tc>
          <w:tcPr>
            <w:tcW w:w="1751" w:type="dxa"/>
            <w:vAlign w:val="center"/>
          </w:tcPr>
          <w:p w14:paraId="53FF05B6">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572.4</w:t>
            </w:r>
          </w:p>
        </w:tc>
        <w:tc>
          <w:tcPr>
            <w:tcW w:w="1751" w:type="dxa"/>
            <w:vAlign w:val="center"/>
          </w:tcPr>
          <w:p w14:paraId="05DFB405">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572.4</w:t>
            </w:r>
          </w:p>
        </w:tc>
      </w:tr>
      <w:tr w14:paraId="45484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3895C24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12</w:t>
            </w:r>
          </w:p>
        </w:tc>
        <w:tc>
          <w:tcPr>
            <w:tcW w:w="2309" w:type="pct"/>
            <w:vAlign w:val="center"/>
          </w:tcPr>
          <w:p w14:paraId="66B9662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带状整地（机械）</w:t>
            </w:r>
          </w:p>
        </w:tc>
        <w:tc>
          <w:tcPr>
            <w:tcW w:w="1751" w:type="dxa"/>
            <w:vAlign w:val="center"/>
          </w:tcPr>
          <w:p w14:paraId="385DE395">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405.45</w:t>
            </w:r>
          </w:p>
        </w:tc>
        <w:tc>
          <w:tcPr>
            <w:tcW w:w="1751" w:type="dxa"/>
            <w:vAlign w:val="center"/>
          </w:tcPr>
          <w:p w14:paraId="39BC1ECD">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405.45</w:t>
            </w:r>
          </w:p>
        </w:tc>
      </w:tr>
      <w:tr w14:paraId="09E5E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05BF664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13</w:t>
            </w:r>
          </w:p>
        </w:tc>
        <w:tc>
          <w:tcPr>
            <w:tcW w:w="2309" w:type="pct"/>
            <w:vAlign w:val="center"/>
          </w:tcPr>
          <w:p w14:paraId="40A565E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块状整地</w:t>
            </w:r>
          </w:p>
        </w:tc>
        <w:tc>
          <w:tcPr>
            <w:tcW w:w="1751" w:type="dxa"/>
            <w:vAlign w:val="center"/>
          </w:tcPr>
          <w:p w14:paraId="07FDE4B8">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127.502</w:t>
            </w:r>
          </w:p>
        </w:tc>
        <w:tc>
          <w:tcPr>
            <w:tcW w:w="1751" w:type="dxa"/>
            <w:vAlign w:val="center"/>
          </w:tcPr>
          <w:p w14:paraId="0804EDD5">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127.502</w:t>
            </w:r>
          </w:p>
        </w:tc>
      </w:tr>
      <w:tr w14:paraId="3FFC3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3F92848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14</w:t>
            </w:r>
          </w:p>
        </w:tc>
        <w:tc>
          <w:tcPr>
            <w:tcW w:w="2309" w:type="pct"/>
            <w:vAlign w:val="center"/>
          </w:tcPr>
          <w:p w14:paraId="48A98F8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整地后挖穴</w:t>
            </w:r>
          </w:p>
        </w:tc>
        <w:tc>
          <w:tcPr>
            <w:tcW w:w="1751" w:type="dxa"/>
            <w:vAlign w:val="center"/>
          </w:tcPr>
          <w:p w14:paraId="6F4CB9B0">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1662.029</w:t>
            </w:r>
          </w:p>
        </w:tc>
        <w:tc>
          <w:tcPr>
            <w:tcW w:w="1751" w:type="dxa"/>
            <w:vAlign w:val="center"/>
          </w:tcPr>
          <w:p w14:paraId="2D43501E">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1662.029</w:t>
            </w:r>
          </w:p>
        </w:tc>
      </w:tr>
      <w:tr w14:paraId="1FAD3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408290C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15</w:t>
            </w:r>
          </w:p>
        </w:tc>
        <w:tc>
          <w:tcPr>
            <w:tcW w:w="2309" w:type="pct"/>
            <w:vAlign w:val="center"/>
          </w:tcPr>
          <w:p w14:paraId="71C4D37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肥料上山</w:t>
            </w:r>
          </w:p>
        </w:tc>
        <w:tc>
          <w:tcPr>
            <w:tcW w:w="1751" w:type="dxa"/>
            <w:vAlign w:val="center"/>
          </w:tcPr>
          <w:p w14:paraId="6B2E9851">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111.255</w:t>
            </w:r>
          </w:p>
        </w:tc>
        <w:tc>
          <w:tcPr>
            <w:tcW w:w="1751" w:type="dxa"/>
            <w:vAlign w:val="center"/>
          </w:tcPr>
          <w:p w14:paraId="3FF02AC8">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111.255</w:t>
            </w:r>
          </w:p>
        </w:tc>
      </w:tr>
      <w:tr w14:paraId="60D7E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5725579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16</w:t>
            </w:r>
          </w:p>
        </w:tc>
        <w:tc>
          <w:tcPr>
            <w:tcW w:w="2309" w:type="pct"/>
            <w:vAlign w:val="center"/>
          </w:tcPr>
          <w:p w14:paraId="777DA82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苗木上山</w:t>
            </w:r>
          </w:p>
        </w:tc>
        <w:tc>
          <w:tcPr>
            <w:tcW w:w="1751" w:type="dxa"/>
            <w:vAlign w:val="center"/>
          </w:tcPr>
          <w:p w14:paraId="1DA87A21">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444</w:t>
            </w:r>
          </w:p>
        </w:tc>
        <w:tc>
          <w:tcPr>
            <w:tcW w:w="1751" w:type="dxa"/>
            <w:vAlign w:val="center"/>
          </w:tcPr>
          <w:p w14:paraId="38F04414">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444</w:t>
            </w:r>
          </w:p>
        </w:tc>
      </w:tr>
      <w:tr w14:paraId="2A4C8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78855AA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17</w:t>
            </w:r>
          </w:p>
        </w:tc>
        <w:tc>
          <w:tcPr>
            <w:tcW w:w="2309" w:type="pct"/>
            <w:vAlign w:val="center"/>
          </w:tcPr>
          <w:p w14:paraId="63BDC22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施基肥</w:t>
            </w:r>
          </w:p>
        </w:tc>
        <w:tc>
          <w:tcPr>
            <w:tcW w:w="1751" w:type="dxa"/>
            <w:vAlign w:val="center"/>
          </w:tcPr>
          <w:p w14:paraId="62FE207F">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787.108</w:t>
            </w:r>
          </w:p>
        </w:tc>
        <w:tc>
          <w:tcPr>
            <w:tcW w:w="1751" w:type="dxa"/>
            <w:vAlign w:val="center"/>
          </w:tcPr>
          <w:p w14:paraId="3B1FC633">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787.108</w:t>
            </w:r>
          </w:p>
        </w:tc>
      </w:tr>
      <w:tr w14:paraId="29718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7CD8E4D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18</w:t>
            </w:r>
          </w:p>
        </w:tc>
        <w:tc>
          <w:tcPr>
            <w:tcW w:w="2309" w:type="pct"/>
            <w:vAlign w:val="center"/>
          </w:tcPr>
          <w:p w14:paraId="54969E2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经济林苗木定植</w:t>
            </w:r>
          </w:p>
        </w:tc>
        <w:tc>
          <w:tcPr>
            <w:tcW w:w="1751" w:type="dxa"/>
            <w:vAlign w:val="center"/>
          </w:tcPr>
          <w:p w14:paraId="6A3AFA61">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1444.886</w:t>
            </w:r>
          </w:p>
        </w:tc>
        <w:tc>
          <w:tcPr>
            <w:tcW w:w="1751" w:type="dxa"/>
            <w:vAlign w:val="center"/>
          </w:tcPr>
          <w:p w14:paraId="08125CCF">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1444.886</w:t>
            </w:r>
          </w:p>
        </w:tc>
      </w:tr>
      <w:tr w14:paraId="2596F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4F67347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19</w:t>
            </w:r>
          </w:p>
        </w:tc>
        <w:tc>
          <w:tcPr>
            <w:tcW w:w="2309" w:type="pct"/>
            <w:vAlign w:val="center"/>
          </w:tcPr>
          <w:p w14:paraId="76FFFDA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经济林苗木抚育</w:t>
            </w:r>
          </w:p>
        </w:tc>
        <w:tc>
          <w:tcPr>
            <w:tcW w:w="1751" w:type="dxa"/>
            <w:vAlign w:val="center"/>
          </w:tcPr>
          <w:p w14:paraId="0CEF44B2">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6559.325</w:t>
            </w:r>
          </w:p>
        </w:tc>
        <w:tc>
          <w:tcPr>
            <w:tcW w:w="1751" w:type="dxa"/>
            <w:vAlign w:val="center"/>
          </w:tcPr>
          <w:p w14:paraId="0FAE485C">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6559.325</w:t>
            </w:r>
          </w:p>
        </w:tc>
      </w:tr>
      <w:tr w14:paraId="7FB52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635" w:type="pct"/>
            <w:vAlign w:val="top"/>
          </w:tcPr>
          <w:p w14:paraId="421E257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20</w:t>
            </w:r>
          </w:p>
        </w:tc>
        <w:tc>
          <w:tcPr>
            <w:tcW w:w="2309" w:type="pct"/>
            <w:vAlign w:val="center"/>
          </w:tcPr>
          <w:p w14:paraId="0504185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日常巡护管理</w:t>
            </w:r>
          </w:p>
        </w:tc>
        <w:tc>
          <w:tcPr>
            <w:tcW w:w="1751" w:type="dxa"/>
            <w:vAlign w:val="center"/>
          </w:tcPr>
          <w:p w14:paraId="368148E7">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223.171</w:t>
            </w:r>
          </w:p>
        </w:tc>
        <w:tc>
          <w:tcPr>
            <w:tcW w:w="1751" w:type="dxa"/>
            <w:vAlign w:val="center"/>
          </w:tcPr>
          <w:p w14:paraId="72A6417D">
            <w:pPr>
              <w:keepNext w:val="0"/>
              <w:keepLines w:val="0"/>
              <w:widowControl w:val="0"/>
              <w:suppressLineNumbers w:val="0"/>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i w:val="0"/>
                <w:iCs w:val="0"/>
                <w:kern w:val="0"/>
                <w:sz w:val="21"/>
                <w:szCs w:val="21"/>
                <w:u w:val="none"/>
                <w:lang w:val="en-US" w:eastAsia="zh-CN" w:bidi="ar"/>
              </w:rPr>
              <w:t>223.171</w:t>
            </w:r>
          </w:p>
        </w:tc>
      </w:tr>
    </w:tbl>
    <w:p w14:paraId="033E728D">
      <w:pPr>
        <w:pageBreakBefore w:val="0"/>
        <w:widowControl w:val="0"/>
        <w:kinsoku/>
        <w:wordWrap/>
        <w:overflowPunct/>
        <w:topLinePunct w:val="0"/>
        <w:bidi w:val="0"/>
        <w:snapToGrid/>
        <w:spacing w:after="0" w:line="360" w:lineRule="auto"/>
        <w:ind w:firstLine="562" w:firstLineChars="200"/>
        <w:jc w:val="both"/>
        <w:outlineLvl w:val="1"/>
        <w:rPr>
          <w:rFonts w:hint="default" w:ascii="Times New Roman" w:hAnsi="Times New Roman" w:eastAsia="仿宋_GB2312" w:cs="Times New Roman"/>
          <w:b/>
          <w:bCs w:val="0"/>
          <w:kern w:val="0"/>
          <w:sz w:val="28"/>
          <w:szCs w:val="28"/>
          <w:lang w:val="en-US" w:eastAsia="zh-CN"/>
        </w:rPr>
      </w:pPr>
      <w:bookmarkStart w:id="812" w:name="_Toc30698"/>
      <w:bookmarkStart w:id="813" w:name="_Toc8979"/>
      <w:bookmarkStart w:id="814" w:name="_Toc6880"/>
      <w:bookmarkStart w:id="815" w:name="_Toc17012"/>
      <w:bookmarkStart w:id="816" w:name="_Toc30553"/>
      <w:bookmarkStart w:id="817" w:name="_Toc31826"/>
      <w:r>
        <w:rPr>
          <w:rFonts w:hint="eastAsia" w:ascii="Times New Roman" w:hAnsi="Times New Roman" w:eastAsia="仿宋_GB2312" w:cs="Times New Roman"/>
          <w:b/>
          <w:bCs w:val="0"/>
          <w:kern w:val="0"/>
          <w:sz w:val="28"/>
          <w:szCs w:val="28"/>
          <w:lang w:val="en-US" w:eastAsia="zh-CN"/>
        </w:rPr>
        <w:t>（3）概算指标</w:t>
      </w:r>
      <w:bookmarkEnd w:id="812"/>
      <w:bookmarkEnd w:id="813"/>
      <w:bookmarkEnd w:id="814"/>
      <w:bookmarkEnd w:id="815"/>
      <w:bookmarkEnd w:id="816"/>
      <w:bookmarkEnd w:id="817"/>
    </w:p>
    <w:p w14:paraId="679F9F59">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1）有机肥0.4元/kg计算；</w:t>
      </w:r>
    </w:p>
    <w:p w14:paraId="6893D00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2）复合肥按3.5元/kg计算；</w:t>
      </w:r>
    </w:p>
    <w:p w14:paraId="13B9B32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3）2年生油茶苗木按4元/株计算；</w:t>
      </w:r>
    </w:p>
    <w:p w14:paraId="778C8B41">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4）一类人工按140元/工日计算；</w:t>
      </w:r>
    </w:p>
    <w:p w14:paraId="17AA861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5）背负式割灌机按161元/台班计算；</w:t>
      </w:r>
    </w:p>
    <w:p w14:paraId="1476ECC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6）履带式单斗液压挖掘机按650元/台班计算。</w:t>
      </w:r>
    </w:p>
    <w:p w14:paraId="7621C5FF">
      <w:pPr>
        <w:pStyle w:val="9"/>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楷体" w:hAnsi="楷体" w:eastAsia="楷体" w:cs="楷体"/>
          <w:b/>
          <w:bCs w:val="0"/>
          <w:kern w:val="0"/>
          <w:sz w:val="24"/>
          <w:szCs w:val="24"/>
          <w:lang w:val="en-US" w:eastAsia="zh-CN"/>
        </w:rPr>
      </w:pPr>
      <w:r>
        <w:rPr>
          <w:rFonts w:hint="eastAsia" w:ascii="楷体" w:hAnsi="楷体" w:eastAsia="楷体" w:cs="楷体"/>
          <w:b/>
          <w:bCs w:val="0"/>
          <w:kern w:val="0"/>
          <w:sz w:val="24"/>
          <w:szCs w:val="24"/>
          <w:lang w:val="en-US" w:eastAsia="zh-CN"/>
        </w:rPr>
        <w:t>表11-7 营造林投资概算指标表</w:t>
      </w:r>
    </w:p>
    <w:tbl>
      <w:tblPr>
        <w:tblStyle w:val="21"/>
        <w:tblW w:w="494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3"/>
        <w:gridCol w:w="3108"/>
        <w:gridCol w:w="1585"/>
        <w:gridCol w:w="1083"/>
        <w:gridCol w:w="1561"/>
      </w:tblGrid>
      <w:tr w14:paraId="28154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blHeader/>
          <w:jc w:val="center"/>
        </w:trPr>
        <w:tc>
          <w:tcPr>
            <w:tcW w:w="643" w:type="pct"/>
          </w:tcPr>
          <w:p w14:paraId="441B230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序号</w:t>
            </w:r>
          </w:p>
        </w:tc>
        <w:tc>
          <w:tcPr>
            <w:tcW w:w="1845" w:type="pct"/>
          </w:tcPr>
          <w:p w14:paraId="0FA1C04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项目/工序</w:t>
            </w:r>
          </w:p>
        </w:tc>
        <w:tc>
          <w:tcPr>
            <w:tcW w:w="941" w:type="pct"/>
            <w:vAlign w:val="center"/>
          </w:tcPr>
          <w:p w14:paraId="5D635D80">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单位</w:t>
            </w:r>
          </w:p>
        </w:tc>
        <w:tc>
          <w:tcPr>
            <w:tcW w:w="643" w:type="pct"/>
            <w:vAlign w:val="center"/>
          </w:tcPr>
          <w:p w14:paraId="4481EF6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单价</w:t>
            </w:r>
          </w:p>
        </w:tc>
        <w:tc>
          <w:tcPr>
            <w:tcW w:w="926" w:type="pct"/>
            <w:vAlign w:val="center"/>
          </w:tcPr>
          <w:p w14:paraId="3E8A0F2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备注</w:t>
            </w:r>
          </w:p>
        </w:tc>
      </w:tr>
      <w:tr w14:paraId="5967C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643" w:type="pct"/>
            <w:vAlign w:val="top"/>
          </w:tcPr>
          <w:p w14:paraId="31FEA3D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w:t>
            </w:r>
          </w:p>
        </w:tc>
        <w:tc>
          <w:tcPr>
            <w:tcW w:w="1845" w:type="pct"/>
            <w:vAlign w:val="center"/>
          </w:tcPr>
          <w:p w14:paraId="76353E7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2年生苗</w:t>
            </w:r>
          </w:p>
        </w:tc>
        <w:tc>
          <w:tcPr>
            <w:tcW w:w="941" w:type="pct"/>
            <w:vAlign w:val="center"/>
          </w:tcPr>
          <w:p w14:paraId="013B556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元/株</w:t>
            </w:r>
          </w:p>
        </w:tc>
        <w:tc>
          <w:tcPr>
            <w:tcW w:w="643" w:type="pct"/>
            <w:vAlign w:val="center"/>
          </w:tcPr>
          <w:p w14:paraId="6089B050">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4</w:t>
            </w:r>
          </w:p>
        </w:tc>
        <w:tc>
          <w:tcPr>
            <w:tcW w:w="926" w:type="pct"/>
            <w:vAlign w:val="center"/>
          </w:tcPr>
          <w:p w14:paraId="7D17BA20">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市场价</w:t>
            </w:r>
          </w:p>
        </w:tc>
      </w:tr>
      <w:tr w14:paraId="228CC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643" w:type="pct"/>
            <w:vAlign w:val="top"/>
          </w:tcPr>
          <w:p w14:paraId="19A1FAA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2</w:t>
            </w:r>
          </w:p>
        </w:tc>
        <w:tc>
          <w:tcPr>
            <w:tcW w:w="1845" w:type="pct"/>
            <w:vAlign w:val="center"/>
          </w:tcPr>
          <w:p w14:paraId="4970521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有机肥</w:t>
            </w:r>
          </w:p>
        </w:tc>
        <w:tc>
          <w:tcPr>
            <w:tcW w:w="941" w:type="pct"/>
            <w:vAlign w:val="center"/>
          </w:tcPr>
          <w:p w14:paraId="089165F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元/t</w:t>
            </w:r>
          </w:p>
        </w:tc>
        <w:tc>
          <w:tcPr>
            <w:tcW w:w="643" w:type="pct"/>
            <w:vAlign w:val="center"/>
          </w:tcPr>
          <w:p w14:paraId="7BF7888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0.</w:t>
            </w:r>
            <w:r>
              <w:rPr>
                <w:rFonts w:hint="eastAsia" w:ascii="Arial Narrow" w:hAnsi="Arial Narrow" w:eastAsia="楷体" w:cs="Arial Narrow"/>
                <w:bCs/>
                <w:kern w:val="0"/>
                <w:sz w:val="21"/>
                <w:szCs w:val="21"/>
                <w:vertAlign w:val="baseline"/>
                <w:lang w:val="en-US" w:eastAsia="zh-CN"/>
              </w:rPr>
              <w:t>4</w:t>
            </w:r>
          </w:p>
        </w:tc>
        <w:tc>
          <w:tcPr>
            <w:tcW w:w="926" w:type="pct"/>
            <w:vAlign w:val="center"/>
          </w:tcPr>
          <w:p w14:paraId="136C44D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定额标准</w:t>
            </w:r>
          </w:p>
        </w:tc>
      </w:tr>
      <w:tr w14:paraId="0F08A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083" w:type="dxa"/>
            <w:vAlign w:val="top"/>
          </w:tcPr>
          <w:p w14:paraId="3529FE4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3</w:t>
            </w:r>
          </w:p>
        </w:tc>
        <w:tc>
          <w:tcPr>
            <w:tcW w:w="1845" w:type="pct"/>
            <w:vAlign w:val="center"/>
          </w:tcPr>
          <w:p w14:paraId="6B9D66F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复合肥</w:t>
            </w:r>
          </w:p>
        </w:tc>
        <w:tc>
          <w:tcPr>
            <w:tcW w:w="941" w:type="pct"/>
            <w:vAlign w:val="center"/>
          </w:tcPr>
          <w:p w14:paraId="5FE1FFD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元/t</w:t>
            </w:r>
          </w:p>
        </w:tc>
        <w:tc>
          <w:tcPr>
            <w:tcW w:w="643" w:type="pct"/>
            <w:vAlign w:val="center"/>
          </w:tcPr>
          <w:p w14:paraId="4C74FD6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3.5</w:t>
            </w:r>
          </w:p>
        </w:tc>
        <w:tc>
          <w:tcPr>
            <w:tcW w:w="926" w:type="pct"/>
            <w:vAlign w:val="center"/>
          </w:tcPr>
          <w:p w14:paraId="79820DD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定额标准</w:t>
            </w:r>
          </w:p>
        </w:tc>
      </w:tr>
      <w:tr w14:paraId="4794E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083" w:type="dxa"/>
            <w:vAlign w:val="top"/>
          </w:tcPr>
          <w:p w14:paraId="074548D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4</w:t>
            </w:r>
          </w:p>
        </w:tc>
        <w:tc>
          <w:tcPr>
            <w:tcW w:w="1845" w:type="pct"/>
            <w:vAlign w:val="center"/>
          </w:tcPr>
          <w:p w14:paraId="5CB269D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施</w:t>
            </w:r>
            <w:r>
              <w:rPr>
                <w:rFonts w:hint="default" w:ascii="Arial Narrow" w:hAnsi="Arial Narrow" w:eastAsia="楷体" w:cs="Arial Narrow"/>
                <w:bCs/>
                <w:kern w:val="0"/>
                <w:sz w:val="21"/>
                <w:szCs w:val="21"/>
                <w:vertAlign w:val="baseline"/>
                <w:lang w:val="en-US" w:eastAsia="zh-CN"/>
              </w:rPr>
              <w:t>有机肥</w:t>
            </w:r>
          </w:p>
        </w:tc>
        <w:tc>
          <w:tcPr>
            <w:tcW w:w="941" w:type="pct"/>
            <w:vAlign w:val="center"/>
          </w:tcPr>
          <w:p w14:paraId="42E91BF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元/工日</w:t>
            </w:r>
          </w:p>
        </w:tc>
        <w:tc>
          <w:tcPr>
            <w:tcW w:w="643" w:type="pct"/>
            <w:vAlign w:val="center"/>
          </w:tcPr>
          <w:p w14:paraId="59DBA60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140</w:t>
            </w:r>
          </w:p>
        </w:tc>
        <w:tc>
          <w:tcPr>
            <w:tcW w:w="926" w:type="pct"/>
            <w:vAlign w:val="center"/>
          </w:tcPr>
          <w:p w14:paraId="1DE4F56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定额标准</w:t>
            </w:r>
          </w:p>
        </w:tc>
      </w:tr>
      <w:tr w14:paraId="6BA11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083" w:type="dxa"/>
            <w:vAlign w:val="top"/>
          </w:tcPr>
          <w:p w14:paraId="0610192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5</w:t>
            </w:r>
          </w:p>
        </w:tc>
        <w:tc>
          <w:tcPr>
            <w:tcW w:w="1845" w:type="pct"/>
            <w:vAlign w:val="center"/>
          </w:tcPr>
          <w:p w14:paraId="32F9B02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施</w:t>
            </w:r>
            <w:r>
              <w:rPr>
                <w:rFonts w:hint="default" w:ascii="Arial Narrow" w:hAnsi="Arial Narrow" w:eastAsia="楷体" w:cs="Arial Narrow"/>
                <w:bCs/>
                <w:kern w:val="0"/>
                <w:sz w:val="21"/>
                <w:szCs w:val="21"/>
                <w:vertAlign w:val="baseline"/>
                <w:lang w:val="en-US" w:eastAsia="zh-CN"/>
              </w:rPr>
              <w:t>复合机肥</w:t>
            </w:r>
          </w:p>
        </w:tc>
        <w:tc>
          <w:tcPr>
            <w:tcW w:w="941" w:type="pct"/>
            <w:vAlign w:val="center"/>
          </w:tcPr>
          <w:p w14:paraId="3BD3A67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元/工日</w:t>
            </w:r>
          </w:p>
        </w:tc>
        <w:tc>
          <w:tcPr>
            <w:tcW w:w="643" w:type="pct"/>
            <w:vAlign w:val="center"/>
          </w:tcPr>
          <w:p w14:paraId="4481F10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140</w:t>
            </w:r>
          </w:p>
        </w:tc>
        <w:tc>
          <w:tcPr>
            <w:tcW w:w="926" w:type="pct"/>
            <w:vAlign w:val="center"/>
          </w:tcPr>
          <w:p w14:paraId="68C0BB9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定额标准</w:t>
            </w:r>
          </w:p>
        </w:tc>
      </w:tr>
      <w:tr w14:paraId="57A88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083" w:type="dxa"/>
            <w:vAlign w:val="top"/>
          </w:tcPr>
          <w:p w14:paraId="498FF7F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6</w:t>
            </w:r>
          </w:p>
        </w:tc>
        <w:tc>
          <w:tcPr>
            <w:tcW w:w="1845" w:type="pct"/>
            <w:vAlign w:val="center"/>
          </w:tcPr>
          <w:p w14:paraId="4386461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乔木林采伐</w:t>
            </w:r>
          </w:p>
        </w:tc>
        <w:tc>
          <w:tcPr>
            <w:tcW w:w="941" w:type="pct"/>
            <w:vAlign w:val="center"/>
          </w:tcPr>
          <w:p w14:paraId="17B85910">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元/工日</w:t>
            </w:r>
          </w:p>
        </w:tc>
        <w:tc>
          <w:tcPr>
            <w:tcW w:w="643" w:type="pct"/>
            <w:vAlign w:val="center"/>
          </w:tcPr>
          <w:p w14:paraId="46547D5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140</w:t>
            </w:r>
          </w:p>
        </w:tc>
        <w:tc>
          <w:tcPr>
            <w:tcW w:w="926" w:type="pct"/>
            <w:vAlign w:val="center"/>
          </w:tcPr>
          <w:p w14:paraId="3B9DE0D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定额标准</w:t>
            </w:r>
          </w:p>
        </w:tc>
      </w:tr>
      <w:tr w14:paraId="00843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083" w:type="dxa"/>
            <w:vAlign w:val="top"/>
          </w:tcPr>
          <w:p w14:paraId="5054A02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7</w:t>
            </w:r>
          </w:p>
        </w:tc>
        <w:tc>
          <w:tcPr>
            <w:tcW w:w="1845" w:type="pct"/>
            <w:vAlign w:val="center"/>
          </w:tcPr>
          <w:p w14:paraId="4CAA9C3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竹子采运</w:t>
            </w:r>
          </w:p>
        </w:tc>
        <w:tc>
          <w:tcPr>
            <w:tcW w:w="941" w:type="pct"/>
            <w:vAlign w:val="center"/>
          </w:tcPr>
          <w:p w14:paraId="127955D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元/工日</w:t>
            </w:r>
          </w:p>
        </w:tc>
        <w:tc>
          <w:tcPr>
            <w:tcW w:w="643" w:type="pct"/>
            <w:vAlign w:val="center"/>
          </w:tcPr>
          <w:p w14:paraId="2FCBFD2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140</w:t>
            </w:r>
          </w:p>
        </w:tc>
        <w:tc>
          <w:tcPr>
            <w:tcW w:w="926" w:type="pct"/>
            <w:vAlign w:val="center"/>
          </w:tcPr>
          <w:p w14:paraId="6F3C4E7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定额标准</w:t>
            </w:r>
          </w:p>
        </w:tc>
      </w:tr>
      <w:tr w14:paraId="67B4D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083" w:type="dxa"/>
            <w:vAlign w:val="top"/>
          </w:tcPr>
          <w:p w14:paraId="1FDACFD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8</w:t>
            </w:r>
          </w:p>
        </w:tc>
        <w:tc>
          <w:tcPr>
            <w:tcW w:w="1845" w:type="pct"/>
            <w:vAlign w:val="center"/>
          </w:tcPr>
          <w:p w14:paraId="55FF6CC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全林地清理</w:t>
            </w:r>
          </w:p>
        </w:tc>
        <w:tc>
          <w:tcPr>
            <w:tcW w:w="941" w:type="pct"/>
            <w:vAlign w:val="center"/>
          </w:tcPr>
          <w:p w14:paraId="0E2889F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元/工日</w:t>
            </w:r>
          </w:p>
        </w:tc>
        <w:tc>
          <w:tcPr>
            <w:tcW w:w="643" w:type="pct"/>
            <w:vAlign w:val="center"/>
          </w:tcPr>
          <w:p w14:paraId="61C25CC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140</w:t>
            </w:r>
          </w:p>
        </w:tc>
        <w:tc>
          <w:tcPr>
            <w:tcW w:w="926" w:type="pct"/>
            <w:vAlign w:val="center"/>
          </w:tcPr>
          <w:p w14:paraId="0E1B46D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定额标准</w:t>
            </w:r>
          </w:p>
        </w:tc>
      </w:tr>
      <w:tr w14:paraId="6D83F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083" w:type="dxa"/>
            <w:vAlign w:val="top"/>
          </w:tcPr>
          <w:p w14:paraId="4A79A5B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9</w:t>
            </w:r>
          </w:p>
        </w:tc>
        <w:tc>
          <w:tcPr>
            <w:tcW w:w="1845" w:type="pct"/>
            <w:vAlign w:val="center"/>
          </w:tcPr>
          <w:p w14:paraId="7A4D889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采伐剩余物处理（人工）</w:t>
            </w:r>
          </w:p>
        </w:tc>
        <w:tc>
          <w:tcPr>
            <w:tcW w:w="941" w:type="pct"/>
            <w:vAlign w:val="center"/>
          </w:tcPr>
          <w:p w14:paraId="6E8E4A6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元/工日</w:t>
            </w:r>
          </w:p>
        </w:tc>
        <w:tc>
          <w:tcPr>
            <w:tcW w:w="643" w:type="pct"/>
            <w:vAlign w:val="center"/>
          </w:tcPr>
          <w:p w14:paraId="0F395B5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140</w:t>
            </w:r>
          </w:p>
        </w:tc>
        <w:tc>
          <w:tcPr>
            <w:tcW w:w="926" w:type="pct"/>
            <w:vAlign w:val="center"/>
          </w:tcPr>
          <w:p w14:paraId="7D7B5F5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定额标准</w:t>
            </w:r>
          </w:p>
        </w:tc>
      </w:tr>
      <w:tr w14:paraId="7D143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083" w:type="dxa"/>
            <w:vAlign w:val="top"/>
          </w:tcPr>
          <w:p w14:paraId="6DB0744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10</w:t>
            </w:r>
          </w:p>
        </w:tc>
        <w:tc>
          <w:tcPr>
            <w:tcW w:w="1845" w:type="pct"/>
            <w:vAlign w:val="center"/>
          </w:tcPr>
          <w:p w14:paraId="184423E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采伐剩余物处理（机械）</w:t>
            </w:r>
          </w:p>
        </w:tc>
        <w:tc>
          <w:tcPr>
            <w:tcW w:w="941" w:type="pct"/>
            <w:vAlign w:val="center"/>
          </w:tcPr>
          <w:p w14:paraId="29C3D97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元/台班</w:t>
            </w:r>
          </w:p>
        </w:tc>
        <w:tc>
          <w:tcPr>
            <w:tcW w:w="643" w:type="pct"/>
            <w:vAlign w:val="center"/>
          </w:tcPr>
          <w:p w14:paraId="229103F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161</w:t>
            </w:r>
          </w:p>
        </w:tc>
        <w:tc>
          <w:tcPr>
            <w:tcW w:w="926" w:type="pct"/>
            <w:vAlign w:val="center"/>
          </w:tcPr>
          <w:p w14:paraId="7D01A7D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定额标准</w:t>
            </w:r>
          </w:p>
        </w:tc>
      </w:tr>
      <w:tr w14:paraId="614D1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083" w:type="dxa"/>
            <w:vAlign w:val="top"/>
          </w:tcPr>
          <w:p w14:paraId="5661E2F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11</w:t>
            </w:r>
          </w:p>
        </w:tc>
        <w:tc>
          <w:tcPr>
            <w:tcW w:w="1845" w:type="pct"/>
            <w:vAlign w:val="center"/>
          </w:tcPr>
          <w:p w14:paraId="2355241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带状整地（机械）</w:t>
            </w:r>
          </w:p>
        </w:tc>
        <w:tc>
          <w:tcPr>
            <w:tcW w:w="941" w:type="pct"/>
            <w:vAlign w:val="center"/>
          </w:tcPr>
          <w:p w14:paraId="592D5BF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元/台班</w:t>
            </w:r>
          </w:p>
        </w:tc>
        <w:tc>
          <w:tcPr>
            <w:tcW w:w="643" w:type="pct"/>
            <w:vAlign w:val="center"/>
          </w:tcPr>
          <w:p w14:paraId="5296E00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650</w:t>
            </w:r>
          </w:p>
        </w:tc>
        <w:tc>
          <w:tcPr>
            <w:tcW w:w="926" w:type="pct"/>
            <w:vAlign w:val="center"/>
          </w:tcPr>
          <w:p w14:paraId="38C285B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定额标准</w:t>
            </w:r>
          </w:p>
        </w:tc>
      </w:tr>
      <w:tr w14:paraId="39DDA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083" w:type="dxa"/>
            <w:vAlign w:val="top"/>
          </w:tcPr>
          <w:p w14:paraId="0C80497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12</w:t>
            </w:r>
          </w:p>
        </w:tc>
        <w:tc>
          <w:tcPr>
            <w:tcW w:w="1845" w:type="pct"/>
            <w:vAlign w:val="center"/>
          </w:tcPr>
          <w:p w14:paraId="48FB58E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带状整地（人工）</w:t>
            </w:r>
          </w:p>
        </w:tc>
        <w:tc>
          <w:tcPr>
            <w:tcW w:w="941" w:type="pct"/>
            <w:vAlign w:val="center"/>
          </w:tcPr>
          <w:p w14:paraId="565CAB0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元/工日</w:t>
            </w:r>
          </w:p>
        </w:tc>
        <w:tc>
          <w:tcPr>
            <w:tcW w:w="643" w:type="pct"/>
            <w:vAlign w:val="center"/>
          </w:tcPr>
          <w:p w14:paraId="187918F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140</w:t>
            </w:r>
          </w:p>
        </w:tc>
        <w:tc>
          <w:tcPr>
            <w:tcW w:w="926" w:type="pct"/>
            <w:vAlign w:val="center"/>
          </w:tcPr>
          <w:p w14:paraId="1D3FD41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定额标准</w:t>
            </w:r>
          </w:p>
        </w:tc>
      </w:tr>
      <w:tr w14:paraId="716FD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083" w:type="dxa"/>
            <w:vAlign w:val="top"/>
          </w:tcPr>
          <w:p w14:paraId="6332BE3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13</w:t>
            </w:r>
          </w:p>
        </w:tc>
        <w:tc>
          <w:tcPr>
            <w:tcW w:w="1845" w:type="pct"/>
            <w:vAlign w:val="center"/>
          </w:tcPr>
          <w:p w14:paraId="28E8710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整地后挖穴</w:t>
            </w:r>
          </w:p>
        </w:tc>
        <w:tc>
          <w:tcPr>
            <w:tcW w:w="941" w:type="pct"/>
            <w:vAlign w:val="center"/>
          </w:tcPr>
          <w:p w14:paraId="03F75BB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元/工日</w:t>
            </w:r>
          </w:p>
        </w:tc>
        <w:tc>
          <w:tcPr>
            <w:tcW w:w="643" w:type="pct"/>
            <w:vAlign w:val="center"/>
          </w:tcPr>
          <w:p w14:paraId="377F68B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140</w:t>
            </w:r>
          </w:p>
        </w:tc>
        <w:tc>
          <w:tcPr>
            <w:tcW w:w="926" w:type="pct"/>
            <w:vAlign w:val="center"/>
          </w:tcPr>
          <w:p w14:paraId="248E545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定额标准</w:t>
            </w:r>
          </w:p>
        </w:tc>
      </w:tr>
      <w:tr w14:paraId="722BE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083" w:type="dxa"/>
            <w:vAlign w:val="top"/>
          </w:tcPr>
          <w:p w14:paraId="7CE8550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14</w:t>
            </w:r>
          </w:p>
        </w:tc>
        <w:tc>
          <w:tcPr>
            <w:tcW w:w="1845" w:type="pct"/>
            <w:vAlign w:val="center"/>
          </w:tcPr>
          <w:p w14:paraId="73D6FA2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块状整地</w:t>
            </w:r>
          </w:p>
        </w:tc>
        <w:tc>
          <w:tcPr>
            <w:tcW w:w="941" w:type="pct"/>
            <w:vAlign w:val="center"/>
          </w:tcPr>
          <w:p w14:paraId="644DE35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元/工日</w:t>
            </w:r>
          </w:p>
        </w:tc>
        <w:tc>
          <w:tcPr>
            <w:tcW w:w="643" w:type="pct"/>
            <w:vAlign w:val="center"/>
          </w:tcPr>
          <w:p w14:paraId="51656C4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140</w:t>
            </w:r>
          </w:p>
        </w:tc>
        <w:tc>
          <w:tcPr>
            <w:tcW w:w="926" w:type="pct"/>
            <w:vAlign w:val="center"/>
          </w:tcPr>
          <w:p w14:paraId="2F1DE24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定额标准</w:t>
            </w:r>
          </w:p>
        </w:tc>
      </w:tr>
      <w:tr w14:paraId="6A64E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083" w:type="dxa"/>
            <w:vAlign w:val="top"/>
          </w:tcPr>
          <w:p w14:paraId="6FB6634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15</w:t>
            </w:r>
          </w:p>
        </w:tc>
        <w:tc>
          <w:tcPr>
            <w:tcW w:w="1845" w:type="pct"/>
            <w:vAlign w:val="center"/>
          </w:tcPr>
          <w:p w14:paraId="642A1E1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施基肥</w:t>
            </w:r>
          </w:p>
        </w:tc>
        <w:tc>
          <w:tcPr>
            <w:tcW w:w="941" w:type="pct"/>
            <w:vAlign w:val="center"/>
          </w:tcPr>
          <w:p w14:paraId="66562500">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元/工日</w:t>
            </w:r>
          </w:p>
        </w:tc>
        <w:tc>
          <w:tcPr>
            <w:tcW w:w="643" w:type="pct"/>
            <w:vAlign w:val="center"/>
          </w:tcPr>
          <w:p w14:paraId="038F4B4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140</w:t>
            </w:r>
          </w:p>
        </w:tc>
        <w:tc>
          <w:tcPr>
            <w:tcW w:w="926" w:type="pct"/>
            <w:vAlign w:val="center"/>
          </w:tcPr>
          <w:p w14:paraId="471C745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定额标准</w:t>
            </w:r>
          </w:p>
        </w:tc>
      </w:tr>
      <w:tr w14:paraId="4D66B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083" w:type="dxa"/>
            <w:vAlign w:val="top"/>
          </w:tcPr>
          <w:p w14:paraId="6BE8223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16</w:t>
            </w:r>
          </w:p>
        </w:tc>
        <w:tc>
          <w:tcPr>
            <w:tcW w:w="1845" w:type="pct"/>
            <w:vAlign w:val="center"/>
          </w:tcPr>
          <w:p w14:paraId="276F5DF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经济林苗木定植</w:t>
            </w:r>
          </w:p>
        </w:tc>
        <w:tc>
          <w:tcPr>
            <w:tcW w:w="941" w:type="pct"/>
            <w:vAlign w:val="center"/>
          </w:tcPr>
          <w:p w14:paraId="1F176DC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元/工日</w:t>
            </w:r>
          </w:p>
        </w:tc>
        <w:tc>
          <w:tcPr>
            <w:tcW w:w="643" w:type="pct"/>
            <w:vAlign w:val="center"/>
          </w:tcPr>
          <w:p w14:paraId="092A817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140</w:t>
            </w:r>
          </w:p>
        </w:tc>
        <w:tc>
          <w:tcPr>
            <w:tcW w:w="926" w:type="pct"/>
            <w:vAlign w:val="center"/>
          </w:tcPr>
          <w:p w14:paraId="512CD20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定额标准</w:t>
            </w:r>
          </w:p>
        </w:tc>
      </w:tr>
      <w:tr w14:paraId="4694B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083" w:type="dxa"/>
            <w:vAlign w:val="top"/>
          </w:tcPr>
          <w:p w14:paraId="161621A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18</w:t>
            </w:r>
          </w:p>
        </w:tc>
        <w:tc>
          <w:tcPr>
            <w:tcW w:w="1845" w:type="pct"/>
            <w:vAlign w:val="center"/>
          </w:tcPr>
          <w:p w14:paraId="13B145D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保留油茶修枝</w:t>
            </w:r>
          </w:p>
        </w:tc>
        <w:tc>
          <w:tcPr>
            <w:tcW w:w="941" w:type="pct"/>
            <w:vAlign w:val="center"/>
          </w:tcPr>
          <w:p w14:paraId="1869A71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元/工日</w:t>
            </w:r>
          </w:p>
        </w:tc>
        <w:tc>
          <w:tcPr>
            <w:tcW w:w="643" w:type="pct"/>
            <w:vAlign w:val="center"/>
          </w:tcPr>
          <w:p w14:paraId="2AC2D25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140</w:t>
            </w:r>
          </w:p>
        </w:tc>
        <w:tc>
          <w:tcPr>
            <w:tcW w:w="926" w:type="pct"/>
            <w:vAlign w:val="center"/>
          </w:tcPr>
          <w:p w14:paraId="2092DD7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定额标准</w:t>
            </w:r>
          </w:p>
        </w:tc>
      </w:tr>
      <w:tr w14:paraId="43660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083" w:type="dxa"/>
            <w:vAlign w:val="top"/>
          </w:tcPr>
          <w:p w14:paraId="2878941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17</w:t>
            </w:r>
          </w:p>
        </w:tc>
        <w:tc>
          <w:tcPr>
            <w:tcW w:w="1845" w:type="pct"/>
            <w:vAlign w:val="center"/>
          </w:tcPr>
          <w:p w14:paraId="722FE1D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经济林苗木抚育</w:t>
            </w:r>
          </w:p>
        </w:tc>
        <w:tc>
          <w:tcPr>
            <w:tcW w:w="941" w:type="pct"/>
            <w:vAlign w:val="center"/>
          </w:tcPr>
          <w:p w14:paraId="0817358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元/工日</w:t>
            </w:r>
          </w:p>
        </w:tc>
        <w:tc>
          <w:tcPr>
            <w:tcW w:w="643" w:type="pct"/>
            <w:vAlign w:val="center"/>
          </w:tcPr>
          <w:p w14:paraId="622E82B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140</w:t>
            </w:r>
          </w:p>
        </w:tc>
        <w:tc>
          <w:tcPr>
            <w:tcW w:w="926" w:type="pct"/>
            <w:vAlign w:val="center"/>
          </w:tcPr>
          <w:p w14:paraId="23B14E4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定额标准</w:t>
            </w:r>
          </w:p>
        </w:tc>
      </w:tr>
      <w:tr w14:paraId="1BC37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083" w:type="dxa"/>
            <w:vAlign w:val="top"/>
          </w:tcPr>
          <w:p w14:paraId="2FCF286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18</w:t>
            </w:r>
          </w:p>
        </w:tc>
        <w:tc>
          <w:tcPr>
            <w:tcW w:w="1845" w:type="pct"/>
            <w:vAlign w:val="center"/>
          </w:tcPr>
          <w:p w14:paraId="4B1EF94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日常巡护</w:t>
            </w:r>
          </w:p>
        </w:tc>
        <w:tc>
          <w:tcPr>
            <w:tcW w:w="941" w:type="pct"/>
            <w:vAlign w:val="center"/>
          </w:tcPr>
          <w:p w14:paraId="6BF7A66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元/工日</w:t>
            </w:r>
          </w:p>
        </w:tc>
        <w:tc>
          <w:tcPr>
            <w:tcW w:w="643" w:type="pct"/>
            <w:vAlign w:val="center"/>
          </w:tcPr>
          <w:p w14:paraId="6FC8F35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140</w:t>
            </w:r>
          </w:p>
        </w:tc>
        <w:tc>
          <w:tcPr>
            <w:tcW w:w="926" w:type="pct"/>
            <w:vAlign w:val="center"/>
          </w:tcPr>
          <w:p w14:paraId="3103831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定额标准</w:t>
            </w:r>
          </w:p>
        </w:tc>
      </w:tr>
    </w:tbl>
    <w:p w14:paraId="2CD8ACDA">
      <w:pPr>
        <w:pageBreakBefore w:val="0"/>
        <w:widowControl w:val="0"/>
        <w:kinsoku/>
        <w:wordWrap/>
        <w:overflowPunct/>
        <w:topLinePunct w:val="0"/>
        <w:bidi w:val="0"/>
        <w:snapToGrid/>
        <w:spacing w:after="0" w:line="360" w:lineRule="auto"/>
        <w:ind w:firstLine="562" w:firstLineChars="200"/>
        <w:jc w:val="both"/>
        <w:outlineLvl w:val="1"/>
        <w:rPr>
          <w:rFonts w:hint="eastAsia" w:ascii="Times New Roman" w:hAnsi="Times New Roman" w:eastAsia="仿宋_GB2312" w:cs="Times New Roman"/>
          <w:b/>
          <w:bCs w:val="0"/>
          <w:kern w:val="0"/>
          <w:sz w:val="28"/>
          <w:szCs w:val="28"/>
          <w:lang w:val="en-US" w:eastAsia="zh-CN"/>
        </w:rPr>
      </w:pPr>
      <w:bookmarkStart w:id="818" w:name="_Toc32512"/>
      <w:bookmarkStart w:id="819" w:name="_Toc8156"/>
      <w:bookmarkStart w:id="820" w:name="_Toc14496"/>
      <w:bookmarkStart w:id="821" w:name="_Toc27408"/>
      <w:bookmarkStart w:id="822" w:name="_Toc2964"/>
      <w:bookmarkStart w:id="823" w:name="_Toc17482"/>
      <w:r>
        <w:rPr>
          <w:rFonts w:hint="eastAsia" w:ascii="Times New Roman" w:hAnsi="Times New Roman" w:eastAsia="仿宋_GB2312" w:cs="Times New Roman"/>
          <w:b/>
          <w:bCs w:val="0"/>
          <w:kern w:val="0"/>
          <w:sz w:val="28"/>
          <w:szCs w:val="28"/>
          <w:lang w:val="en-US" w:eastAsia="zh-CN"/>
        </w:rPr>
        <w:t>（5）工程费概算</w:t>
      </w:r>
      <w:bookmarkEnd w:id="818"/>
      <w:bookmarkEnd w:id="819"/>
      <w:bookmarkEnd w:id="820"/>
      <w:bookmarkEnd w:id="821"/>
      <w:bookmarkEnd w:id="822"/>
      <w:bookmarkEnd w:id="823"/>
    </w:p>
    <w:p w14:paraId="5873DF7B">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经概算，营造林部分工程费概算432.56万元，工程费中人、材、机费用为300.10万元，其他费用132.46万元。明细详见附表3，汇总如下：</w:t>
      </w:r>
    </w:p>
    <w:p w14:paraId="513BF593">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楷体" w:hAnsi="楷体" w:eastAsia="楷体" w:cs="楷体"/>
          <w:b/>
          <w:bCs w:val="0"/>
          <w:kern w:val="0"/>
          <w:sz w:val="24"/>
          <w:szCs w:val="24"/>
          <w:lang w:val="en-US" w:eastAsia="zh-CN"/>
        </w:rPr>
      </w:pPr>
      <w:r>
        <w:rPr>
          <w:rFonts w:hint="eastAsia" w:ascii="楷体" w:hAnsi="楷体" w:eastAsia="楷体" w:cs="楷体"/>
          <w:b/>
          <w:bCs w:val="0"/>
          <w:kern w:val="0"/>
          <w:sz w:val="24"/>
          <w:szCs w:val="24"/>
          <w:lang w:val="en-US" w:eastAsia="zh-CN"/>
        </w:rPr>
        <w:t>表11-8 营造林投资概算汇总表</w:t>
      </w:r>
    </w:p>
    <w:p w14:paraId="1AB82C75">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right"/>
        <w:textAlignment w:val="auto"/>
        <w:rPr>
          <w:rFonts w:hint="eastAsia" w:ascii="楷体" w:hAnsi="楷体" w:eastAsia="楷体" w:cs="楷体"/>
          <w:b w:val="0"/>
          <w:bCs/>
          <w:kern w:val="0"/>
          <w:sz w:val="21"/>
          <w:szCs w:val="21"/>
          <w:lang w:val="en-US" w:eastAsia="zh-CN"/>
        </w:rPr>
      </w:pPr>
      <w:r>
        <w:rPr>
          <w:rFonts w:hint="eastAsia" w:ascii="楷体" w:hAnsi="楷体" w:eastAsia="楷体" w:cs="楷体"/>
          <w:b w:val="0"/>
          <w:bCs/>
          <w:kern w:val="0"/>
          <w:sz w:val="21"/>
          <w:szCs w:val="21"/>
          <w:lang w:val="en-US" w:eastAsia="zh-CN"/>
        </w:rPr>
        <w:t>单位：元</w:t>
      </w:r>
    </w:p>
    <w:tbl>
      <w:tblPr>
        <w:tblStyle w:val="2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4"/>
        <w:gridCol w:w="4256"/>
        <w:gridCol w:w="1686"/>
        <w:gridCol w:w="1563"/>
      </w:tblGrid>
      <w:tr w14:paraId="6C359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blHeader/>
        </w:trPr>
        <w:tc>
          <w:tcPr>
            <w:tcW w:w="595" w:type="pct"/>
            <w:vAlign w:val="center"/>
          </w:tcPr>
          <w:p w14:paraId="79EF0AA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序号</w:t>
            </w:r>
          </w:p>
        </w:tc>
        <w:tc>
          <w:tcPr>
            <w:tcW w:w="2497" w:type="pct"/>
            <w:vAlign w:val="center"/>
          </w:tcPr>
          <w:p w14:paraId="2B23AC6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类别</w:t>
            </w:r>
          </w:p>
        </w:tc>
        <w:tc>
          <w:tcPr>
            <w:tcW w:w="989" w:type="pct"/>
            <w:vAlign w:val="center"/>
          </w:tcPr>
          <w:p w14:paraId="060B335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eastAsia" w:ascii="Arial Narrow" w:hAnsi="Arial Narrow" w:eastAsia="楷体" w:cs="Arial Narrow"/>
                <w:b/>
                <w:bCs w:val="0"/>
                <w:kern w:val="0"/>
                <w:sz w:val="21"/>
                <w:szCs w:val="21"/>
                <w:vertAlign w:val="baseline"/>
                <w:lang w:val="en-US" w:eastAsia="zh-CN"/>
              </w:rPr>
              <w:t>白石镇</w:t>
            </w:r>
          </w:p>
        </w:tc>
        <w:tc>
          <w:tcPr>
            <w:tcW w:w="917" w:type="pct"/>
            <w:vAlign w:val="center"/>
          </w:tcPr>
          <w:p w14:paraId="547B39D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val="0"/>
                <w:kern w:val="0"/>
                <w:sz w:val="21"/>
                <w:szCs w:val="21"/>
                <w:vertAlign w:val="baseline"/>
                <w:lang w:val="en-US" w:eastAsia="zh-CN"/>
              </w:rPr>
            </w:pPr>
            <w:r>
              <w:rPr>
                <w:rFonts w:hint="default" w:ascii="Arial Narrow" w:hAnsi="Arial Narrow" w:eastAsia="楷体" w:cs="Arial Narrow"/>
                <w:b/>
                <w:bCs w:val="0"/>
                <w:kern w:val="0"/>
                <w:sz w:val="21"/>
                <w:szCs w:val="21"/>
                <w:vertAlign w:val="baseline"/>
                <w:lang w:val="en-US" w:eastAsia="zh-CN"/>
              </w:rPr>
              <w:t>合计</w:t>
            </w:r>
          </w:p>
        </w:tc>
      </w:tr>
      <w:tr w14:paraId="12170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595" w:type="pct"/>
            <w:vAlign w:val="center"/>
          </w:tcPr>
          <w:p w14:paraId="77C77304">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default" w:ascii="Arial" w:hAnsi="Arial" w:eastAsia="宋体" w:cs="Arial"/>
                <w:i w:val="0"/>
                <w:iCs w:val="0"/>
                <w:color w:val="000000"/>
                <w:kern w:val="0"/>
                <w:sz w:val="20"/>
                <w:szCs w:val="20"/>
                <w:u w:val="none"/>
                <w:lang w:val="en-US" w:eastAsia="zh-CN" w:bidi="ar"/>
              </w:rPr>
              <w:t>1</w:t>
            </w:r>
          </w:p>
        </w:tc>
        <w:tc>
          <w:tcPr>
            <w:tcW w:w="2497" w:type="pct"/>
            <w:vAlign w:val="center"/>
          </w:tcPr>
          <w:p w14:paraId="320324C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2年苗</w:t>
            </w:r>
          </w:p>
        </w:tc>
        <w:tc>
          <w:tcPr>
            <w:tcW w:w="1686" w:type="dxa"/>
            <w:vAlign w:val="center"/>
          </w:tcPr>
          <w:p w14:paraId="5B0959FB">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190932</w:t>
            </w:r>
          </w:p>
        </w:tc>
        <w:tc>
          <w:tcPr>
            <w:tcW w:w="1563" w:type="dxa"/>
            <w:vAlign w:val="center"/>
          </w:tcPr>
          <w:p w14:paraId="712AD002">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190932</w:t>
            </w:r>
          </w:p>
        </w:tc>
      </w:tr>
      <w:tr w14:paraId="526C2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595" w:type="pct"/>
            <w:vAlign w:val="center"/>
          </w:tcPr>
          <w:p w14:paraId="3BE9107C">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eastAsia" w:ascii="Arial" w:hAnsi="Arial" w:cs="Arial"/>
                <w:i w:val="0"/>
                <w:iCs w:val="0"/>
                <w:color w:val="000000"/>
                <w:kern w:val="0"/>
                <w:sz w:val="20"/>
                <w:szCs w:val="20"/>
                <w:u w:val="none"/>
                <w:lang w:val="en-US" w:eastAsia="zh-CN" w:bidi="ar"/>
              </w:rPr>
              <w:t>2</w:t>
            </w:r>
          </w:p>
        </w:tc>
        <w:tc>
          <w:tcPr>
            <w:tcW w:w="2497" w:type="pct"/>
            <w:vAlign w:val="center"/>
          </w:tcPr>
          <w:p w14:paraId="0BC4449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基肥</w:t>
            </w:r>
            <w:r>
              <w:rPr>
                <w:rFonts w:hint="eastAsia" w:ascii="Arial Narrow" w:hAnsi="Arial Narrow" w:eastAsia="楷体" w:cs="Arial Narrow"/>
                <w:bCs/>
                <w:kern w:val="0"/>
                <w:sz w:val="21"/>
                <w:szCs w:val="21"/>
                <w:vertAlign w:val="baseline"/>
                <w:lang w:val="en-US" w:eastAsia="zh-CN"/>
              </w:rPr>
              <w:t>（有机肥）</w:t>
            </w:r>
          </w:p>
        </w:tc>
        <w:tc>
          <w:tcPr>
            <w:tcW w:w="1686" w:type="dxa"/>
            <w:vAlign w:val="center"/>
          </w:tcPr>
          <w:p w14:paraId="455D371C">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86789</w:t>
            </w:r>
          </w:p>
        </w:tc>
        <w:tc>
          <w:tcPr>
            <w:tcW w:w="1563" w:type="dxa"/>
            <w:vAlign w:val="center"/>
          </w:tcPr>
          <w:p w14:paraId="5C90F5D8">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86789</w:t>
            </w:r>
          </w:p>
        </w:tc>
      </w:tr>
      <w:tr w14:paraId="671DC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595" w:type="pct"/>
            <w:vAlign w:val="center"/>
          </w:tcPr>
          <w:p w14:paraId="7BDEF039">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default" w:ascii="Arial" w:hAnsi="Arial" w:eastAsia="宋体" w:cs="Arial"/>
                <w:i w:val="0"/>
                <w:iCs w:val="0"/>
                <w:color w:val="000000"/>
                <w:kern w:val="0"/>
                <w:sz w:val="20"/>
                <w:szCs w:val="20"/>
                <w:u w:val="none"/>
                <w:lang w:val="en-US" w:eastAsia="zh-CN" w:bidi="ar"/>
              </w:rPr>
              <w:t>3</w:t>
            </w:r>
          </w:p>
        </w:tc>
        <w:tc>
          <w:tcPr>
            <w:tcW w:w="2497" w:type="pct"/>
            <w:vAlign w:val="center"/>
          </w:tcPr>
          <w:p w14:paraId="313433D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基肥</w:t>
            </w:r>
            <w:r>
              <w:rPr>
                <w:rFonts w:hint="eastAsia" w:ascii="Arial Narrow" w:hAnsi="Arial Narrow" w:eastAsia="楷体" w:cs="Arial Narrow"/>
                <w:bCs/>
                <w:kern w:val="0"/>
                <w:sz w:val="21"/>
                <w:szCs w:val="21"/>
                <w:vertAlign w:val="baseline"/>
                <w:lang w:val="en-US" w:eastAsia="zh-CN"/>
              </w:rPr>
              <w:t>（复合肥）</w:t>
            </w:r>
          </w:p>
        </w:tc>
        <w:tc>
          <w:tcPr>
            <w:tcW w:w="1686" w:type="dxa"/>
            <w:vAlign w:val="center"/>
          </w:tcPr>
          <w:p w14:paraId="5EF43947">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75940</w:t>
            </w:r>
          </w:p>
        </w:tc>
        <w:tc>
          <w:tcPr>
            <w:tcW w:w="1563" w:type="dxa"/>
            <w:vAlign w:val="center"/>
          </w:tcPr>
          <w:p w14:paraId="2EBA7E15">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75940</w:t>
            </w:r>
          </w:p>
        </w:tc>
      </w:tr>
      <w:tr w14:paraId="70501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595" w:type="pct"/>
            <w:vAlign w:val="center"/>
          </w:tcPr>
          <w:p w14:paraId="4D6F6FB6">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default" w:ascii="Arial" w:hAnsi="Arial" w:eastAsia="宋体" w:cs="Arial"/>
                <w:i w:val="0"/>
                <w:iCs w:val="0"/>
                <w:color w:val="000000"/>
                <w:kern w:val="0"/>
                <w:sz w:val="20"/>
                <w:szCs w:val="20"/>
                <w:u w:val="none"/>
                <w:lang w:val="en-US" w:eastAsia="zh-CN" w:bidi="ar"/>
              </w:rPr>
              <w:t>4</w:t>
            </w:r>
          </w:p>
        </w:tc>
        <w:tc>
          <w:tcPr>
            <w:tcW w:w="2497" w:type="pct"/>
            <w:vAlign w:val="center"/>
          </w:tcPr>
          <w:p w14:paraId="66190AD0">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追肥</w:t>
            </w:r>
            <w:r>
              <w:rPr>
                <w:rFonts w:hint="eastAsia" w:ascii="Arial Narrow" w:hAnsi="Arial Narrow" w:eastAsia="楷体" w:cs="Arial Narrow"/>
                <w:bCs/>
                <w:kern w:val="0"/>
                <w:sz w:val="21"/>
                <w:szCs w:val="21"/>
                <w:vertAlign w:val="baseline"/>
                <w:lang w:val="en-US" w:eastAsia="zh-CN"/>
              </w:rPr>
              <w:t>（有机肥）</w:t>
            </w:r>
          </w:p>
        </w:tc>
        <w:tc>
          <w:tcPr>
            <w:tcW w:w="1686" w:type="dxa"/>
            <w:vAlign w:val="center"/>
          </w:tcPr>
          <w:p w14:paraId="0586208B">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86789</w:t>
            </w:r>
          </w:p>
        </w:tc>
        <w:tc>
          <w:tcPr>
            <w:tcW w:w="1563" w:type="dxa"/>
            <w:vAlign w:val="center"/>
          </w:tcPr>
          <w:p w14:paraId="119521E3">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86789</w:t>
            </w:r>
          </w:p>
        </w:tc>
      </w:tr>
      <w:tr w14:paraId="105E8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595" w:type="pct"/>
            <w:vAlign w:val="center"/>
          </w:tcPr>
          <w:p w14:paraId="588FA3BD">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default" w:ascii="Arial" w:hAnsi="Arial" w:eastAsia="宋体" w:cs="Arial"/>
                <w:i w:val="0"/>
                <w:iCs w:val="0"/>
                <w:color w:val="000000"/>
                <w:kern w:val="0"/>
                <w:sz w:val="20"/>
                <w:szCs w:val="20"/>
                <w:u w:val="none"/>
                <w:lang w:val="en-US" w:eastAsia="zh-CN" w:bidi="ar"/>
              </w:rPr>
              <w:t>5</w:t>
            </w:r>
          </w:p>
        </w:tc>
        <w:tc>
          <w:tcPr>
            <w:tcW w:w="2497" w:type="pct"/>
            <w:vAlign w:val="center"/>
          </w:tcPr>
          <w:p w14:paraId="28C96C1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追肥</w:t>
            </w:r>
            <w:r>
              <w:rPr>
                <w:rFonts w:hint="eastAsia" w:ascii="Arial Narrow" w:hAnsi="Arial Narrow" w:eastAsia="楷体" w:cs="Arial Narrow"/>
                <w:bCs/>
                <w:kern w:val="0"/>
                <w:sz w:val="21"/>
                <w:szCs w:val="21"/>
                <w:vertAlign w:val="baseline"/>
                <w:lang w:val="en-US" w:eastAsia="zh-CN"/>
              </w:rPr>
              <w:t>（复合肥）</w:t>
            </w:r>
          </w:p>
        </w:tc>
        <w:tc>
          <w:tcPr>
            <w:tcW w:w="1686" w:type="dxa"/>
            <w:vAlign w:val="center"/>
          </w:tcPr>
          <w:p w14:paraId="5EBDF9FE">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68347</w:t>
            </w:r>
          </w:p>
        </w:tc>
        <w:tc>
          <w:tcPr>
            <w:tcW w:w="1563" w:type="dxa"/>
            <w:vAlign w:val="center"/>
          </w:tcPr>
          <w:p w14:paraId="18B8865D">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68347</w:t>
            </w:r>
          </w:p>
        </w:tc>
      </w:tr>
      <w:tr w14:paraId="783F1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595" w:type="pct"/>
            <w:vAlign w:val="center"/>
          </w:tcPr>
          <w:p w14:paraId="32104CF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default" w:ascii="Arial" w:hAnsi="Arial" w:eastAsia="宋体" w:cs="Arial"/>
                <w:i w:val="0"/>
                <w:iCs w:val="0"/>
                <w:color w:val="000000"/>
                <w:kern w:val="0"/>
                <w:sz w:val="20"/>
                <w:szCs w:val="20"/>
                <w:u w:val="none"/>
                <w:lang w:val="en-US" w:eastAsia="zh-CN" w:bidi="ar"/>
              </w:rPr>
              <w:t>6</w:t>
            </w:r>
          </w:p>
        </w:tc>
        <w:tc>
          <w:tcPr>
            <w:tcW w:w="2497" w:type="pct"/>
            <w:vAlign w:val="center"/>
          </w:tcPr>
          <w:p w14:paraId="3668E5AD">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乔木林采伐</w:t>
            </w:r>
          </w:p>
        </w:tc>
        <w:tc>
          <w:tcPr>
            <w:tcW w:w="1686" w:type="dxa"/>
            <w:vAlign w:val="center"/>
          </w:tcPr>
          <w:p w14:paraId="6523BBD9">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543245</w:t>
            </w:r>
          </w:p>
        </w:tc>
        <w:tc>
          <w:tcPr>
            <w:tcW w:w="1563" w:type="dxa"/>
            <w:vAlign w:val="center"/>
          </w:tcPr>
          <w:p w14:paraId="17445A70">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543245</w:t>
            </w:r>
          </w:p>
        </w:tc>
      </w:tr>
      <w:tr w14:paraId="4CABA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5588CD0A">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7</w:t>
            </w:r>
          </w:p>
        </w:tc>
        <w:tc>
          <w:tcPr>
            <w:tcW w:w="2497" w:type="pct"/>
            <w:vAlign w:val="center"/>
          </w:tcPr>
          <w:p w14:paraId="757D19B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eastAsia" w:ascii="Arial Narrow" w:hAnsi="Arial Narrow" w:eastAsia="楷体" w:cs="Arial Narrow"/>
                <w:bCs/>
                <w:kern w:val="0"/>
                <w:sz w:val="21"/>
                <w:szCs w:val="21"/>
                <w:vertAlign w:val="baseline"/>
                <w:lang w:val="en-US" w:eastAsia="zh-CN"/>
              </w:rPr>
              <w:t>竹子采运</w:t>
            </w:r>
          </w:p>
        </w:tc>
        <w:tc>
          <w:tcPr>
            <w:tcW w:w="1686" w:type="dxa"/>
            <w:vAlign w:val="center"/>
          </w:tcPr>
          <w:p w14:paraId="252A980E">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3171</w:t>
            </w:r>
          </w:p>
        </w:tc>
        <w:tc>
          <w:tcPr>
            <w:tcW w:w="1563" w:type="dxa"/>
            <w:vAlign w:val="center"/>
          </w:tcPr>
          <w:p w14:paraId="09E9B315">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3171</w:t>
            </w:r>
          </w:p>
        </w:tc>
      </w:tr>
      <w:tr w14:paraId="23C33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724E264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default" w:ascii="Arial" w:hAnsi="Arial" w:eastAsia="宋体" w:cs="Arial"/>
                <w:i w:val="0"/>
                <w:iCs w:val="0"/>
                <w:color w:val="000000"/>
                <w:kern w:val="0"/>
                <w:sz w:val="20"/>
                <w:szCs w:val="20"/>
                <w:u w:val="none"/>
                <w:lang w:val="en-US" w:eastAsia="zh-CN" w:bidi="ar"/>
              </w:rPr>
              <w:t>8</w:t>
            </w:r>
          </w:p>
        </w:tc>
        <w:tc>
          <w:tcPr>
            <w:tcW w:w="2497" w:type="pct"/>
            <w:vAlign w:val="center"/>
          </w:tcPr>
          <w:p w14:paraId="42EC89C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采伐剩余物（人）</w:t>
            </w:r>
          </w:p>
        </w:tc>
        <w:tc>
          <w:tcPr>
            <w:tcW w:w="1686" w:type="dxa"/>
            <w:vAlign w:val="center"/>
          </w:tcPr>
          <w:p w14:paraId="5475E123">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99268</w:t>
            </w:r>
          </w:p>
        </w:tc>
        <w:tc>
          <w:tcPr>
            <w:tcW w:w="1563" w:type="dxa"/>
            <w:vAlign w:val="center"/>
          </w:tcPr>
          <w:p w14:paraId="3D31DD20">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99268</w:t>
            </w:r>
          </w:p>
        </w:tc>
      </w:tr>
      <w:tr w14:paraId="37823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2894FA2B">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default" w:ascii="Arial" w:hAnsi="Arial" w:eastAsia="宋体" w:cs="Arial"/>
                <w:i w:val="0"/>
                <w:iCs w:val="0"/>
                <w:color w:val="000000"/>
                <w:kern w:val="0"/>
                <w:sz w:val="20"/>
                <w:szCs w:val="20"/>
                <w:u w:val="none"/>
                <w:lang w:val="en-US" w:eastAsia="zh-CN" w:bidi="ar"/>
              </w:rPr>
              <w:t>9</w:t>
            </w:r>
          </w:p>
        </w:tc>
        <w:tc>
          <w:tcPr>
            <w:tcW w:w="2497" w:type="pct"/>
            <w:vAlign w:val="center"/>
          </w:tcPr>
          <w:p w14:paraId="3EF52F5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采伐剩余物（机1）</w:t>
            </w:r>
          </w:p>
        </w:tc>
        <w:tc>
          <w:tcPr>
            <w:tcW w:w="1686" w:type="dxa"/>
            <w:vAlign w:val="center"/>
          </w:tcPr>
          <w:p w14:paraId="0D319347">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60084</w:t>
            </w:r>
          </w:p>
        </w:tc>
        <w:tc>
          <w:tcPr>
            <w:tcW w:w="1563" w:type="dxa"/>
            <w:vAlign w:val="center"/>
          </w:tcPr>
          <w:p w14:paraId="1C77D3C6">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60084</w:t>
            </w:r>
          </w:p>
        </w:tc>
      </w:tr>
      <w:tr w14:paraId="5174F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0FF2839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default" w:ascii="Arial" w:hAnsi="Arial" w:eastAsia="宋体" w:cs="Arial"/>
                <w:i w:val="0"/>
                <w:iCs w:val="0"/>
                <w:color w:val="000000"/>
                <w:kern w:val="0"/>
                <w:sz w:val="20"/>
                <w:szCs w:val="20"/>
                <w:u w:val="none"/>
                <w:lang w:val="en-US" w:eastAsia="zh-CN" w:bidi="ar"/>
              </w:rPr>
              <w:t>10</w:t>
            </w:r>
          </w:p>
        </w:tc>
        <w:tc>
          <w:tcPr>
            <w:tcW w:w="4256" w:type="dxa"/>
            <w:vAlign w:val="center"/>
          </w:tcPr>
          <w:p w14:paraId="1A818D5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林地清理</w:t>
            </w:r>
            <w:r>
              <w:rPr>
                <w:rFonts w:hint="eastAsia" w:ascii="Arial Narrow" w:hAnsi="Arial Narrow" w:eastAsia="楷体" w:cs="Arial Narrow"/>
                <w:bCs/>
                <w:kern w:val="0"/>
                <w:sz w:val="21"/>
                <w:szCs w:val="21"/>
                <w:vertAlign w:val="baseline"/>
                <w:lang w:val="en-US" w:eastAsia="zh-CN"/>
              </w:rPr>
              <w:t>（竹薮型，</w:t>
            </w:r>
            <w:r>
              <w:rPr>
                <w:rFonts w:hint="default" w:ascii="Arial Narrow" w:hAnsi="Arial Narrow" w:eastAsia="楷体" w:cs="Arial Narrow"/>
                <w:bCs/>
                <w:kern w:val="0"/>
                <w:sz w:val="21"/>
                <w:szCs w:val="21"/>
                <w:vertAlign w:val="baseline"/>
                <w:lang w:val="en-US" w:eastAsia="zh-CN"/>
              </w:rPr>
              <w:t>人</w:t>
            </w:r>
            <w:r>
              <w:rPr>
                <w:rFonts w:hint="eastAsia" w:ascii="Arial Narrow" w:hAnsi="Arial Narrow" w:eastAsia="楷体" w:cs="Arial Narrow"/>
                <w:bCs/>
                <w:kern w:val="0"/>
                <w:sz w:val="21"/>
                <w:szCs w:val="21"/>
                <w:vertAlign w:val="baseline"/>
                <w:lang w:val="en-US" w:eastAsia="zh-CN"/>
              </w:rPr>
              <w:t>）</w:t>
            </w:r>
          </w:p>
        </w:tc>
        <w:tc>
          <w:tcPr>
            <w:tcW w:w="1686" w:type="dxa"/>
            <w:vAlign w:val="center"/>
          </w:tcPr>
          <w:p w14:paraId="4C8C14CE">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1746</w:t>
            </w:r>
          </w:p>
        </w:tc>
        <w:tc>
          <w:tcPr>
            <w:tcW w:w="1563" w:type="dxa"/>
            <w:vAlign w:val="center"/>
          </w:tcPr>
          <w:p w14:paraId="58949038">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1746</w:t>
            </w:r>
          </w:p>
        </w:tc>
      </w:tr>
      <w:tr w14:paraId="6829F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5E40BA4D">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default" w:ascii="Arial" w:hAnsi="Arial" w:eastAsia="宋体" w:cs="Arial"/>
                <w:i w:val="0"/>
                <w:iCs w:val="0"/>
                <w:color w:val="000000"/>
                <w:kern w:val="0"/>
                <w:sz w:val="20"/>
                <w:szCs w:val="20"/>
                <w:u w:val="none"/>
                <w:lang w:val="en-US" w:eastAsia="zh-CN" w:bidi="ar"/>
              </w:rPr>
              <w:t>11</w:t>
            </w:r>
          </w:p>
        </w:tc>
        <w:tc>
          <w:tcPr>
            <w:tcW w:w="4256" w:type="dxa"/>
            <w:vAlign w:val="center"/>
          </w:tcPr>
          <w:p w14:paraId="7665D1F0">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林地清理（</w:t>
            </w:r>
            <w:r>
              <w:rPr>
                <w:rFonts w:hint="eastAsia" w:ascii="Arial Narrow" w:hAnsi="Arial Narrow" w:eastAsia="楷体" w:cs="Arial Narrow"/>
                <w:bCs/>
                <w:kern w:val="0"/>
                <w:sz w:val="21"/>
                <w:szCs w:val="21"/>
                <w:vertAlign w:val="baseline"/>
                <w:lang w:val="en-US" w:eastAsia="zh-CN"/>
              </w:rPr>
              <w:t>竹薮型，</w:t>
            </w:r>
            <w:r>
              <w:rPr>
                <w:rFonts w:hint="default" w:ascii="Arial Narrow" w:hAnsi="Arial Narrow" w:eastAsia="楷体" w:cs="Arial Narrow"/>
                <w:bCs/>
                <w:kern w:val="0"/>
                <w:sz w:val="21"/>
                <w:szCs w:val="21"/>
                <w:vertAlign w:val="baseline"/>
                <w:lang w:val="en-US" w:eastAsia="zh-CN"/>
              </w:rPr>
              <w:t>机1）</w:t>
            </w:r>
          </w:p>
        </w:tc>
        <w:tc>
          <w:tcPr>
            <w:tcW w:w="1686" w:type="dxa"/>
            <w:vAlign w:val="center"/>
          </w:tcPr>
          <w:p w14:paraId="7416B025">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2008</w:t>
            </w:r>
          </w:p>
        </w:tc>
        <w:tc>
          <w:tcPr>
            <w:tcW w:w="1563" w:type="dxa"/>
            <w:vAlign w:val="center"/>
          </w:tcPr>
          <w:p w14:paraId="76E2EE23">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2008</w:t>
            </w:r>
          </w:p>
        </w:tc>
      </w:tr>
      <w:tr w14:paraId="7C734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5C1C68FE">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12</w:t>
            </w:r>
          </w:p>
        </w:tc>
        <w:tc>
          <w:tcPr>
            <w:tcW w:w="4256" w:type="dxa"/>
            <w:vAlign w:val="center"/>
          </w:tcPr>
          <w:p w14:paraId="3109279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林地清理</w:t>
            </w:r>
            <w:r>
              <w:rPr>
                <w:rFonts w:hint="eastAsia" w:ascii="Arial Narrow" w:hAnsi="Arial Narrow" w:eastAsia="楷体" w:cs="Arial Narrow"/>
                <w:bCs/>
                <w:kern w:val="0"/>
                <w:sz w:val="21"/>
                <w:szCs w:val="21"/>
                <w:vertAlign w:val="baseline"/>
                <w:lang w:val="en-US" w:eastAsia="zh-CN"/>
              </w:rPr>
              <w:t>（高灌型，</w:t>
            </w:r>
            <w:r>
              <w:rPr>
                <w:rFonts w:hint="default" w:ascii="Arial Narrow" w:hAnsi="Arial Narrow" w:eastAsia="楷体" w:cs="Arial Narrow"/>
                <w:bCs/>
                <w:kern w:val="0"/>
                <w:sz w:val="21"/>
                <w:szCs w:val="21"/>
                <w:vertAlign w:val="baseline"/>
                <w:lang w:val="en-US" w:eastAsia="zh-CN"/>
              </w:rPr>
              <w:t>人</w:t>
            </w:r>
            <w:r>
              <w:rPr>
                <w:rFonts w:hint="eastAsia" w:ascii="Arial Narrow" w:hAnsi="Arial Narrow" w:eastAsia="楷体" w:cs="Arial Narrow"/>
                <w:bCs/>
                <w:kern w:val="0"/>
                <w:sz w:val="21"/>
                <w:szCs w:val="21"/>
                <w:vertAlign w:val="baseline"/>
                <w:lang w:val="en-US" w:eastAsia="zh-CN"/>
              </w:rPr>
              <w:t>）</w:t>
            </w:r>
          </w:p>
        </w:tc>
        <w:tc>
          <w:tcPr>
            <w:tcW w:w="1686" w:type="dxa"/>
            <w:vAlign w:val="center"/>
          </w:tcPr>
          <w:p w14:paraId="16B7F2DC">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3504</w:t>
            </w:r>
          </w:p>
        </w:tc>
        <w:tc>
          <w:tcPr>
            <w:tcW w:w="1563" w:type="dxa"/>
            <w:vAlign w:val="center"/>
          </w:tcPr>
          <w:p w14:paraId="1F3A55C4">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3504</w:t>
            </w:r>
          </w:p>
        </w:tc>
      </w:tr>
      <w:tr w14:paraId="42E22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3B17B459">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13</w:t>
            </w:r>
          </w:p>
        </w:tc>
        <w:tc>
          <w:tcPr>
            <w:tcW w:w="4256" w:type="dxa"/>
            <w:vAlign w:val="center"/>
          </w:tcPr>
          <w:p w14:paraId="1762EFE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林地清理（</w:t>
            </w:r>
            <w:r>
              <w:rPr>
                <w:rFonts w:hint="eastAsia" w:ascii="Arial Narrow" w:hAnsi="Arial Narrow" w:eastAsia="楷体" w:cs="Arial Narrow"/>
                <w:bCs/>
                <w:kern w:val="0"/>
                <w:sz w:val="21"/>
                <w:szCs w:val="21"/>
                <w:vertAlign w:val="baseline"/>
                <w:lang w:val="en-US" w:eastAsia="zh-CN"/>
              </w:rPr>
              <w:t>高灌型，</w:t>
            </w:r>
            <w:r>
              <w:rPr>
                <w:rFonts w:hint="default" w:ascii="Arial Narrow" w:hAnsi="Arial Narrow" w:eastAsia="楷体" w:cs="Arial Narrow"/>
                <w:bCs/>
                <w:kern w:val="0"/>
                <w:sz w:val="21"/>
                <w:szCs w:val="21"/>
                <w:vertAlign w:val="baseline"/>
                <w:lang w:val="en-US" w:eastAsia="zh-CN"/>
              </w:rPr>
              <w:t>机1）</w:t>
            </w:r>
          </w:p>
        </w:tc>
        <w:tc>
          <w:tcPr>
            <w:tcW w:w="1686" w:type="dxa"/>
            <w:vAlign w:val="center"/>
          </w:tcPr>
          <w:p w14:paraId="0BE80888">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4028</w:t>
            </w:r>
          </w:p>
        </w:tc>
        <w:tc>
          <w:tcPr>
            <w:tcW w:w="1563" w:type="dxa"/>
            <w:vAlign w:val="center"/>
          </w:tcPr>
          <w:p w14:paraId="76D0EE96">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4028</w:t>
            </w:r>
          </w:p>
        </w:tc>
      </w:tr>
      <w:tr w14:paraId="012C0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371AAC5A">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14</w:t>
            </w:r>
          </w:p>
        </w:tc>
        <w:tc>
          <w:tcPr>
            <w:tcW w:w="2497" w:type="pct"/>
            <w:vAlign w:val="center"/>
          </w:tcPr>
          <w:p w14:paraId="7C8C1A6B">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林地清理</w:t>
            </w:r>
            <w:r>
              <w:rPr>
                <w:rFonts w:hint="eastAsia" w:ascii="Arial Narrow" w:hAnsi="Arial Narrow" w:eastAsia="楷体" w:cs="Arial Narrow"/>
                <w:bCs/>
                <w:kern w:val="0"/>
                <w:sz w:val="21"/>
                <w:szCs w:val="21"/>
                <w:vertAlign w:val="baseline"/>
                <w:lang w:val="en-US" w:eastAsia="zh-CN"/>
              </w:rPr>
              <w:t>（草灌型，</w:t>
            </w:r>
            <w:r>
              <w:rPr>
                <w:rFonts w:hint="default" w:ascii="Arial Narrow" w:hAnsi="Arial Narrow" w:eastAsia="楷体" w:cs="Arial Narrow"/>
                <w:bCs/>
                <w:kern w:val="0"/>
                <w:sz w:val="21"/>
                <w:szCs w:val="21"/>
                <w:vertAlign w:val="baseline"/>
                <w:lang w:val="en-US" w:eastAsia="zh-CN"/>
              </w:rPr>
              <w:t>人</w:t>
            </w:r>
            <w:r>
              <w:rPr>
                <w:rFonts w:hint="eastAsia" w:ascii="Arial Narrow" w:hAnsi="Arial Narrow" w:eastAsia="楷体" w:cs="Arial Narrow"/>
                <w:bCs/>
                <w:kern w:val="0"/>
                <w:sz w:val="21"/>
                <w:szCs w:val="21"/>
                <w:vertAlign w:val="baseline"/>
                <w:lang w:val="en-US" w:eastAsia="zh-CN"/>
              </w:rPr>
              <w:t>）</w:t>
            </w:r>
          </w:p>
        </w:tc>
        <w:tc>
          <w:tcPr>
            <w:tcW w:w="1686" w:type="dxa"/>
            <w:vAlign w:val="center"/>
          </w:tcPr>
          <w:p w14:paraId="02E8F796">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20209</w:t>
            </w:r>
          </w:p>
        </w:tc>
        <w:tc>
          <w:tcPr>
            <w:tcW w:w="1563" w:type="dxa"/>
            <w:vAlign w:val="center"/>
          </w:tcPr>
          <w:p w14:paraId="6B617E68">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20209</w:t>
            </w:r>
          </w:p>
        </w:tc>
      </w:tr>
      <w:tr w14:paraId="0CAE3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4DF56064">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15</w:t>
            </w:r>
          </w:p>
        </w:tc>
        <w:tc>
          <w:tcPr>
            <w:tcW w:w="2497" w:type="pct"/>
            <w:vAlign w:val="center"/>
          </w:tcPr>
          <w:p w14:paraId="6C577CE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林地清理（</w:t>
            </w:r>
            <w:r>
              <w:rPr>
                <w:rFonts w:hint="eastAsia" w:ascii="Arial Narrow" w:hAnsi="Arial Narrow" w:eastAsia="楷体" w:cs="Arial Narrow"/>
                <w:bCs/>
                <w:kern w:val="0"/>
                <w:sz w:val="21"/>
                <w:szCs w:val="21"/>
                <w:vertAlign w:val="baseline"/>
                <w:lang w:val="en-US" w:eastAsia="zh-CN"/>
              </w:rPr>
              <w:t>草灌型，</w:t>
            </w:r>
            <w:r>
              <w:rPr>
                <w:rFonts w:hint="default" w:ascii="Arial Narrow" w:hAnsi="Arial Narrow" w:eastAsia="楷体" w:cs="Arial Narrow"/>
                <w:bCs/>
                <w:kern w:val="0"/>
                <w:sz w:val="21"/>
                <w:szCs w:val="21"/>
                <w:vertAlign w:val="baseline"/>
                <w:lang w:val="en-US" w:eastAsia="zh-CN"/>
              </w:rPr>
              <w:t>机1）</w:t>
            </w:r>
          </w:p>
        </w:tc>
        <w:tc>
          <w:tcPr>
            <w:tcW w:w="1686" w:type="dxa"/>
            <w:vAlign w:val="center"/>
          </w:tcPr>
          <w:p w14:paraId="41EEC505">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23241</w:t>
            </w:r>
          </w:p>
        </w:tc>
        <w:tc>
          <w:tcPr>
            <w:tcW w:w="1563" w:type="dxa"/>
            <w:vAlign w:val="center"/>
          </w:tcPr>
          <w:p w14:paraId="4CC4AD14">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23241</w:t>
            </w:r>
          </w:p>
        </w:tc>
      </w:tr>
      <w:tr w14:paraId="36F16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0B4F619E">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default" w:ascii="Arial" w:hAnsi="Arial" w:eastAsia="宋体" w:cs="Arial"/>
                <w:i w:val="0"/>
                <w:iCs w:val="0"/>
                <w:color w:val="000000"/>
                <w:kern w:val="0"/>
                <w:sz w:val="20"/>
                <w:szCs w:val="20"/>
                <w:u w:val="none"/>
                <w:lang w:val="en-US" w:eastAsia="zh-CN" w:bidi="ar"/>
              </w:rPr>
              <w:t>16</w:t>
            </w:r>
          </w:p>
        </w:tc>
        <w:tc>
          <w:tcPr>
            <w:tcW w:w="2497" w:type="pct"/>
            <w:vAlign w:val="center"/>
          </w:tcPr>
          <w:p w14:paraId="2B942F69">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带状整地</w:t>
            </w:r>
            <w:r>
              <w:rPr>
                <w:rFonts w:hint="eastAsia" w:ascii="Arial Narrow" w:hAnsi="Arial Narrow" w:eastAsia="楷体" w:cs="Arial Narrow"/>
                <w:bCs/>
                <w:kern w:val="0"/>
                <w:sz w:val="21"/>
                <w:szCs w:val="21"/>
                <w:vertAlign w:val="baseline"/>
                <w:lang w:val="en-US" w:eastAsia="zh-CN"/>
              </w:rPr>
              <w:t>（</w:t>
            </w:r>
            <w:r>
              <w:rPr>
                <w:rFonts w:hint="default" w:ascii="Arial Narrow" w:hAnsi="Arial Narrow" w:eastAsia="楷体" w:cs="Arial Narrow"/>
                <w:bCs/>
                <w:kern w:val="0"/>
                <w:sz w:val="21"/>
                <w:szCs w:val="21"/>
                <w:vertAlign w:val="baseline"/>
                <w:lang w:val="en-US" w:eastAsia="zh-CN"/>
              </w:rPr>
              <w:t>人</w:t>
            </w:r>
            <w:r>
              <w:rPr>
                <w:rFonts w:hint="eastAsia" w:ascii="Arial Narrow" w:hAnsi="Arial Narrow" w:eastAsia="楷体" w:cs="Arial Narrow"/>
                <w:bCs/>
                <w:kern w:val="0"/>
                <w:sz w:val="21"/>
                <w:szCs w:val="21"/>
                <w:vertAlign w:val="baseline"/>
                <w:lang w:val="en-US" w:eastAsia="zh-CN"/>
              </w:rPr>
              <w:t>）</w:t>
            </w:r>
          </w:p>
        </w:tc>
        <w:tc>
          <w:tcPr>
            <w:tcW w:w="1686" w:type="dxa"/>
            <w:vAlign w:val="center"/>
          </w:tcPr>
          <w:p w14:paraId="1A8A0B46">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80137</w:t>
            </w:r>
          </w:p>
        </w:tc>
        <w:tc>
          <w:tcPr>
            <w:tcW w:w="1563" w:type="dxa"/>
            <w:vAlign w:val="center"/>
          </w:tcPr>
          <w:p w14:paraId="2DBC3883">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80137</w:t>
            </w:r>
          </w:p>
        </w:tc>
      </w:tr>
      <w:tr w14:paraId="47DFE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36F23F87">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default" w:ascii="Arial" w:hAnsi="Arial" w:eastAsia="宋体" w:cs="Arial"/>
                <w:i w:val="0"/>
                <w:iCs w:val="0"/>
                <w:color w:val="000000"/>
                <w:kern w:val="0"/>
                <w:sz w:val="20"/>
                <w:szCs w:val="20"/>
                <w:u w:val="none"/>
                <w:lang w:val="en-US" w:eastAsia="zh-CN" w:bidi="ar"/>
              </w:rPr>
              <w:t>17</w:t>
            </w:r>
          </w:p>
        </w:tc>
        <w:tc>
          <w:tcPr>
            <w:tcW w:w="2497" w:type="pct"/>
            <w:vAlign w:val="center"/>
          </w:tcPr>
          <w:p w14:paraId="57953C80">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带状整地（机2）</w:t>
            </w:r>
          </w:p>
        </w:tc>
        <w:tc>
          <w:tcPr>
            <w:tcW w:w="1686" w:type="dxa"/>
            <w:vAlign w:val="center"/>
          </w:tcPr>
          <w:p w14:paraId="01073DDE">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263544</w:t>
            </w:r>
          </w:p>
        </w:tc>
        <w:tc>
          <w:tcPr>
            <w:tcW w:w="1563" w:type="dxa"/>
            <w:vAlign w:val="center"/>
          </w:tcPr>
          <w:p w14:paraId="01B16F65">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263544</w:t>
            </w:r>
          </w:p>
        </w:tc>
      </w:tr>
      <w:tr w14:paraId="30C2F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0FE5F63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default" w:ascii="Arial" w:hAnsi="Arial" w:eastAsia="宋体" w:cs="Arial"/>
                <w:i w:val="0"/>
                <w:iCs w:val="0"/>
                <w:color w:val="000000"/>
                <w:kern w:val="0"/>
                <w:sz w:val="20"/>
                <w:szCs w:val="20"/>
                <w:u w:val="none"/>
                <w:lang w:val="en-US" w:eastAsia="zh-CN" w:bidi="ar"/>
              </w:rPr>
              <w:t>18</w:t>
            </w:r>
          </w:p>
        </w:tc>
        <w:tc>
          <w:tcPr>
            <w:tcW w:w="2497" w:type="pct"/>
            <w:vAlign w:val="center"/>
          </w:tcPr>
          <w:p w14:paraId="4A0C6E5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块状整地</w:t>
            </w:r>
          </w:p>
        </w:tc>
        <w:tc>
          <w:tcPr>
            <w:tcW w:w="1686" w:type="dxa"/>
            <w:vAlign w:val="center"/>
          </w:tcPr>
          <w:p w14:paraId="604FBD4A">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17850</w:t>
            </w:r>
          </w:p>
        </w:tc>
        <w:tc>
          <w:tcPr>
            <w:tcW w:w="1563" w:type="dxa"/>
            <w:vAlign w:val="center"/>
          </w:tcPr>
          <w:p w14:paraId="3BE3043A">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17850</w:t>
            </w:r>
          </w:p>
        </w:tc>
      </w:tr>
      <w:tr w14:paraId="1897BC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536B0630">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default" w:ascii="Arial" w:hAnsi="Arial" w:eastAsia="宋体" w:cs="Arial"/>
                <w:i w:val="0"/>
                <w:iCs w:val="0"/>
                <w:color w:val="000000"/>
                <w:kern w:val="0"/>
                <w:sz w:val="20"/>
                <w:szCs w:val="20"/>
                <w:u w:val="none"/>
                <w:lang w:val="en-US" w:eastAsia="zh-CN" w:bidi="ar"/>
              </w:rPr>
              <w:t>19</w:t>
            </w:r>
          </w:p>
        </w:tc>
        <w:tc>
          <w:tcPr>
            <w:tcW w:w="2497" w:type="pct"/>
            <w:vAlign w:val="center"/>
          </w:tcPr>
          <w:p w14:paraId="124AFC6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整地后挖穴</w:t>
            </w:r>
          </w:p>
        </w:tc>
        <w:tc>
          <w:tcPr>
            <w:tcW w:w="1686" w:type="dxa"/>
            <w:vAlign w:val="center"/>
          </w:tcPr>
          <w:p w14:paraId="666FA260">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232684</w:t>
            </w:r>
          </w:p>
        </w:tc>
        <w:tc>
          <w:tcPr>
            <w:tcW w:w="1563" w:type="dxa"/>
            <w:vAlign w:val="center"/>
          </w:tcPr>
          <w:p w14:paraId="268A95A8">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232684</w:t>
            </w:r>
          </w:p>
        </w:tc>
      </w:tr>
      <w:tr w14:paraId="2527C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4FC353F3">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default" w:ascii="Arial" w:hAnsi="Arial" w:eastAsia="宋体" w:cs="Arial"/>
                <w:i w:val="0"/>
                <w:iCs w:val="0"/>
                <w:color w:val="000000"/>
                <w:kern w:val="0"/>
                <w:sz w:val="20"/>
                <w:szCs w:val="20"/>
                <w:u w:val="none"/>
                <w:lang w:val="en-US" w:eastAsia="zh-CN" w:bidi="ar"/>
              </w:rPr>
              <w:t>20</w:t>
            </w:r>
          </w:p>
        </w:tc>
        <w:tc>
          <w:tcPr>
            <w:tcW w:w="2497" w:type="pct"/>
            <w:vAlign w:val="center"/>
          </w:tcPr>
          <w:p w14:paraId="26072A1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肥料上山</w:t>
            </w:r>
          </w:p>
        </w:tc>
        <w:tc>
          <w:tcPr>
            <w:tcW w:w="1686" w:type="dxa"/>
            <w:vAlign w:val="center"/>
          </w:tcPr>
          <w:p w14:paraId="55E71CE0">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15576</w:t>
            </w:r>
          </w:p>
        </w:tc>
        <w:tc>
          <w:tcPr>
            <w:tcW w:w="1563" w:type="dxa"/>
            <w:vAlign w:val="center"/>
          </w:tcPr>
          <w:p w14:paraId="692269EC">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15576</w:t>
            </w:r>
          </w:p>
        </w:tc>
      </w:tr>
      <w:tr w14:paraId="2E1DC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5CBD1FFA">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default" w:ascii="Arial" w:hAnsi="Arial" w:eastAsia="宋体" w:cs="Arial"/>
                <w:i w:val="0"/>
                <w:iCs w:val="0"/>
                <w:color w:val="000000"/>
                <w:kern w:val="0"/>
                <w:sz w:val="20"/>
                <w:szCs w:val="20"/>
                <w:u w:val="none"/>
                <w:lang w:val="en-US" w:eastAsia="zh-CN" w:bidi="ar"/>
              </w:rPr>
              <w:t>21</w:t>
            </w:r>
          </w:p>
        </w:tc>
        <w:tc>
          <w:tcPr>
            <w:tcW w:w="2497" w:type="pct"/>
            <w:vAlign w:val="center"/>
          </w:tcPr>
          <w:p w14:paraId="657A645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苗木上山</w:t>
            </w:r>
          </w:p>
        </w:tc>
        <w:tc>
          <w:tcPr>
            <w:tcW w:w="1686" w:type="dxa"/>
            <w:vAlign w:val="center"/>
          </w:tcPr>
          <w:p w14:paraId="6E494B6C">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62160</w:t>
            </w:r>
          </w:p>
        </w:tc>
        <w:tc>
          <w:tcPr>
            <w:tcW w:w="1563" w:type="dxa"/>
            <w:vAlign w:val="center"/>
          </w:tcPr>
          <w:p w14:paraId="20943F5A">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62160</w:t>
            </w:r>
          </w:p>
        </w:tc>
      </w:tr>
      <w:tr w14:paraId="78C11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7C160166">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eastAsia" w:ascii="Arial" w:hAnsi="Arial" w:eastAsia="宋体" w:cs="Arial"/>
                <w:i w:val="0"/>
                <w:iCs w:val="0"/>
                <w:color w:val="000000"/>
                <w:kern w:val="0"/>
                <w:sz w:val="20"/>
                <w:szCs w:val="20"/>
                <w:u w:val="none"/>
                <w:lang w:val="en-US" w:eastAsia="zh-CN" w:bidi="ar"/>
              </w:rPr>
              <w:t>22</w:t>
            </w:r>
          </w:p>
        </w:tc>
        <w:tc>
          <w:tcPr>
            <w:tcW w:w="2497" w:type="pct"/>
            <w:vAlign w:val="center"/>
          </w:tcPr>
          <w:p w14:paraId="2962685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施基肥</w:t>
            </w:r>
          </w:p>
        </w:tc>
        <w:tc>
          <w:tcPr>
            <w:tcW w:w="1686" w:type="dxa"/>
            <w:vAlign w:val="center"/>
          </w:tcPr>
          <w:p w14:paraId="72509E18">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110195</w:t>
            </w:r>
          </w:p>
        </w:tc>
        <w:tc>
          <w:tcPr>
            <w:tcW w:w="1563" w:type="dxa"/>
            <w:vAlign w:val="center"/>
          </w:tcPr>
          <w:p w14:paraId="3238AA7E">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110195</w:t>
            </w:r>
          </w:p>
        </w:tc>
      </w:tr>
      <w:tr w14:paraId="3B53B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2F17D108">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 w:val="0"/>
                <w:bCs w:val="0"/>
                <w:kern w:val="0"/>
                <w:sz w:val="21"/>
                <w:szCs w:val="21"/>
                <w:vertAlign w:val="baseline"/>
                <w:lang w:val="en-US" w:eastAsia="zh-CN"/>
              </w:rPr>
            </w:pPr>
            <w:r>
              <w:rPr>
                <w:rFonts w:hint="default" w:ascii="Arial" w:hAnsi="Arial" w:eastAsia="宋体" w:cs="Arial"/>
                <w:b w:val="0"/>
                <w:bCs w:val="0"/>
                <w:i w:val="0"/>
                <w:iCs w:val="0"/>
                <w:color w:val="000000"/>
                <w:kern w:val="0"/>
                <w:sz w:val="20"/>
                <w:szCs w:val="20"/>
                <w:u w:val="none"/>
                <w:lang w:val="en-US" w:eastAsia="zh-CN" w:bidi="ar"/>
              </w:rPr>
              <w:t>2</w:t>
            </w:r>
            <w:r>
              <w:rPr>
                <w:rFonts w:hint="eastAsia" w:ascii="Arial" w:hAnsi="Arial" w:cs="Arial"/>
                <w:b w:val="0"/>
                <w:bCs w:val="0"/>
                <w:i w:val="0"/>
                <w:iCs w:val="0"/>
                <w:color w:val="000000"/>
                <w:kern w:val="0"/>
                <w:sz w:val="20"/>
                <w:szCs w:val="20"/>
                <w:u w:val="none"/>
                <w:lang w:val="en-US" w:eastAsia="zh-CN" w:bidi="ar"/>
              </w:rPr>
              <w:t>3</w:t>
            </w:r>
          </w:p>
        </w:tc>
        <w:tc>
          <w:tcPr>
            <w:tcW w:w="2497" w:type="pct"/>
            <w:vAlign w:val="center"/>
          </w:tcPr>
          <w:p w14:paraId="5E857CB4">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val="0"/>
                <w:bCs w:val="0"/>
                <w:kern w:val="0"/>
                <w:sz w:val="21"/>
                <w:szCs w:val="21"/>
                <w:vertAlign w:val="baseline"/>
                <w:lang w:val="en-US" w:eastAsia="zh-CN"/>
              </w:rPr>
            </w:pPr>
            <w:r>
              <w:rPr>
                <w:rFonts w:hint="default" w:ascii="Arial Narrow" w:hAnsi="Arial Narrow" w:eastAsia="楷体" w:cs="Arial Narrow"/>
                <w:b w:val="0"/>
                <w:bCs w:val="0"/>
                <w:kern w:val="0"/>
                <w:sz w:val="21"/>
                <w:szCs w:val="21"/>
                <w:vertAlign w:val="baseline"/>
                <w:lang w:val="en-US" w:eastAsia="zh-CN"/>
              </w:rPr>
              <w:t>经济林苗木定植</w:t>
            </w:r>
          </w:p>
        </w:tc>
        <w:tc>
          <w:tcPr>
            <w:tcW w:w="1686" w:type="dxa"/>
            <w:vAlign w:val="center"/>
          </w:tcPr>
          <w:p w14:paraId="4C75DEC7">
            <w:pPr>
              <w:keepNext w:val="0"/>
              <w:keepLines w:val="0"/>
              <w:widowControl w:val="0"/>
              <w:suppressLineNumbers w:val="0"/>
              <w:spacing w:after="0" w:line="240" w:lineRule="auto"/>
              <w:ind w:firstLine="0" w:firstLineChars="0"/>
              <w:jc w:val="center"/>
              <w:textAlignment w:val="bottom"/>
              <w:rPr>
                <w:rFonts w:hint="default" w:ascii="Arial" w:hAnsi="Arial" w:eastAsia="宋体" w:cs="Arial"/>
                <w:b w:val="0"/>
                <w:bCs w:val="0"/>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202284</w:t>
            </w:r>
          </w:p>
        </w:tc>
        <w:tc>
          <w:tcPr>
            <w:tcW w:w="1563" w:type="dxa"/>
            <w:vAlign w:val="center"/>
          </w:tcPr>
          <w:p w14:paraId="32CEA843">
            <w:pPr>
              <w:keepNext w:val="0"/>
              <w:keepLines w:val="0"/>
              <w:widowControl w:val="0"/>
              <w:suppressLineNumbers w:val="0"/>
              <w:spacing w:after="0" w:line="240" w:lineRule="auto"/>
              <w:ind w:firstLine="0" w:firstLineChars="0"/>
              <w:jc w:val="center"/>
              <w:textAlignment w:val="bottom"/>
              <w:rPr>
                <w:rFonts w:hint="default" w:ascii="Arial" w:hAnsi="Arial" w:eastAsia="宋体" w:cs="Arial"/>
                <w:b w:val="0"/>
                <w:bCs w:val="0"/>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202284</w:t>
            </w:r>
          </w:p>
        </w:tc>
      </w:tr>
      <w:tr w14:paraId="7ADB3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49CA40B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default" w:ascii="Arial" w:hAnsi="Arial" w:eastAsia="宋体" w:cs="Arial"/>
                <w:i w:val="0"/>
                <w:iCs w:val="0"/>
                <w:color w:val="000000"/>
                <w:kern w:val="0"/>
                <w:sz w:val="20"/>
                <w:szCs w:val="20"/>
                <w:u w:val="none"/>
                <w:lang w:val="en-US" w:eastAsia="zh-CN" w:bidi="ar"/>
              </w:rPr>
              <w:t>2</w:t>
            </w:r>
            <w:r>
              <w:rPr>
                <w:rFonts w:hint="eastAsia" w:ascii="Arial" w:hAnsi="Arial" w:cs="Arial"/>
                <w:i w:val="0"/>
                <w:iCs w:val="0"/>
                <w:color w:val="000000"/>
                <w:kern w:val="0"/>
                <w:sz w:val="20"/>
                <w:szCs w:val="20"/>
                <w:u w:val="none"/>
                <w:lang w:val="en-US" w:eastAsia="zh-CN" w:bidi="ar"/>
              </w:rPr>
              <w:t>4</w:t>
            </w:r>
          </w:p>
        </w:tc>
        <w:tc>
          <w:tcPr>
            <w:tcW w:w="2497" w:type="pct"/>
            <w:vAlign w:val="center"/>
          </w:tcPr>
          <w:p w14:paraId="79ED1F7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经济林苗木抚育</w:t>
            </w:r>
          </w:p>
        </w:tc>
        <w:tc>
          <w:tcPr>
            <w:tcW w:w="1686" w:type="dxa"/>
            <w:vAlign w:val="center"/>
          </w:tcPr>
          <w:p w14:paraId="70A899CD">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918306</w:t>
            </w:r>
          </w:p>
        </w:tc>
        <w:tc>
          <w:tcPr>
            <w:tcW w:w="1563" w:type="dxa"/>
            <w:vAlign w:val="center"/>
          </w:tcPr>
          <w:p w14:paraId="5087D9F2">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918306</w:t>
            </w:r>
          </w:p>
        </w:tc>
      </w:tr>
      <w:tr w14:paraId="4A526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7F7CFCD0">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default" w:ascii="Arial" w:hAnsi="Arial" w:eastAsia="宋体" w:cs="Arial"/>
                <w:i w:val="0"/>
                <w:iCs w:val="0"/>
                <w:color w:val="000000"/>
                <w:kern w:val="0"/>
                <w:sz w:val="20"/>
                <w:szCs w:val="20"/>
                <w:u w:val="none"/>
                <w:lang w:val="en-US" w:eastAsia="zh-CN" w:bidi="ar"/>
              </w:rPr>
              <w:t>2</w:t>
            </w:r>
            <w:r>
              <w:rPr>
                <w:rFonts w:hint="eastAsia" w:ascii="Arial" w:hAnsi="Arial" w:cs="Arial"/>
                <w:i w:val="0"/>
                <w:iCs w:val="0"/>
                <w:color w:val="000000"/>
                <w:kern w:val="0"/>
                <w:sz w:val="20"/>
                <w:szCs w:val="20"/>
                <w:u w:val="none"/>
                <w:lang w:val="en-US" w:eastAsia="zh-CN" w:bidi="ar"/>
              </w:rPr>
              <w:t>5</w:t>
            </w:r>
          </w:p>
        </w:tc>
        <w:tc>
          <w:tcPr>
            <w:tcW w:w="2497" w:type="pct"/>
            <w:vAlign w:val="center"/>
          </w:tcPr>
          <w:p w14:paraId="40BBD7C3">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巡护管理</w:t>
            </w:r>
          </w:p>
        </w:tc>
        <w:tc>
          <w:tcPr>
            <w:tcW w:w="1686" w:type="dxa"/>
            <w:vAlign w:val="center"/>
          </w:tcPr>
          <w:p w14:paraId="50729620">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31245</w:t>
            </w:r>
          </w:p>
        </w:tc>
        <w:tc>
          <w:tcPr>
            <w:tcW w:w="1563" w:type="dxa"/>
            <w:vAlign w:val="center"/>
          </w:tcPr>
          <w:p w14:paraId="3E9C5979">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31245</w:t>
            </w:r>
          </w:p>
        </w:tc>
      </w:tr>
      <w:tr w14:paraId="1AEDB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shd w:val="clear" w:color="auto" w:fill="D7D7D7" w:themeFill="background1" w:themeFillShade="D8"/>
            <w:vAlign w:val="center"/>
          </w:tcPr>
          <w:p w14:paraId="224D121B">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
                <w:bCs/>
                <w:kern w:val="0"/>
                <w:sz w:val="21"/>
                <w:szCs w:val="21"/>
                <w:vertAlign w:val="baseline"/>
                <w:lang w:val="en-US" w:eastAsia="zh-CN"/>
              </w:rPr>
            </w:pPr>
            <w:r>
              <w:rPr>
                <w:rFonts w:hint="default" w:ascii="Arial" w:hAnsi="Arial" w:eastAsia="宋体" w:cs="Arial"/>
                <w:b/>
                <w:bCs/>
                <w:i w:val="0"/>
                <w:iCs w:val="0"/>
                <w:color w:val="000000"/>
                <w:kern w:val="0"/>
                <w:sz w:val="20"/>
                <w:szCs w:val="20"/>
                <w:u w:val="none"/>
                <w:lang w:val="en-US" w:eastAsia="zh-CN" w:bidi="ar"/>
              </w:rPr>
              <w:t>2</w:t>
            </w:r>
            <w:r>
              <w:rPr>
                <w:rFonts w:hint="eastAsia" w:ascii="Arial" w:hAnsi="Arial" w:cs="Arial"/>
                <w:b/>
                <w:bCs/>
                <w:i w:val="0"/>
                <w:iCs w:val="0"/>
                <w:color w:val="000000"/>
                <w:kern w:val="0"/>
                <w:sz w:val="20"/>
                <w:szCs w:val="20"/>
                <w:u w:val="none"/>
                <w:lang w:val="en-US" w:eastAsia="zh-CN" w:bidi="ar"/>
              </w:rPr>
              <w:t>6</w:t>
            </w:r>
          </w:p>
        </w:tc>
        <w:tc>
          <w:tcPr>
            <w:tcW w:w="2497" w:type="pct"/>
            <w:shd w:val="clear" w:color="auto" w:fill="D7D7D7" w:themeFill="background1" w:themeFillShade="D8"/>
            <w:vAlign w:val="center"/>
          </w:tcPr>
          <w:p w14:paraId="58FCF2C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kern w:val="0"/>
                <w:sz w:val="21"/>
                <w:szCs w:val="21"/>
                <w:vertAlign w:val="baseline"/>
                <w:lang w:val="en-US" w:eastAsia="zh-CN"/>
              </w:rPr>
            </w:pPr>
            <w:r>
              <w:rPr>
                <w:rFonts w:hint="default" w:ascii="Arial Narrow" w:hAnsi="Arial Narrow" w:eastAsia="楷体" w:cs="Arial Narrow"/>
                <w:b/>
                <w:bCs/>
                <w:kern w:val="0"/>
                <w:sz w:val="21"/>
                <w:szCs w:val="21"/>
                <w:vertAlign w:val="baseline"/>
                <w:lang w:val="en-US" w:eastAsia="zh-CN"/>
              </w:rPr>
              <w:t>小计</w:t>
            </w:r>
            <w:r>
              <w:rPr>
                <w:rFonts w:hint="eastAsia" w:ascii="Arial Narrow" w:hAnsi="Arial Narrow" w:eastAsia="楷体" w:cs="Arial Narrow"/>
                <w:b/>
                <w:bCs/>
                <w:kern w:val="0"/>
                <w:sz w:val="21"/>
                <w:szCs w:val="21"/>
                <w:vertAlign w:val="baseline"/>
                <w:lang w:val="en-US" w:eastAsia="zh-CN"/>
              </w:rPr>
              <w:t>（1</w:t>
            </w:r>
            <w:r>
              <w:rPr>
                <w:rFonts w:hint="default" w:ascii="Times New Roman" w:hAnsi="Times New Roman" w:eastAsia="楷体" w:cs="Times New Roman"/>
                <w:b/>
                <w:bCs/>
                <w:kern w:val="0"/>
                <w:sz w:val="21"/>
                <w:szCs w:val="21"/>
                <w:vertAlign w:val="baseline"/>
                <w:lang w:val="en-US" w:eastAsia="zh-CN"/>
              </w:rPr>
              <w:t>~</w:t>
            </w:r>
            <w:r>
              <w:rPr>
                <w:rFonts w:hint="eastAsia" w:ascii="Arial Narrow" w:hAnsi="Arial Narrow" w:eastAsia="楷体" w:cs="Arial Narrow"/>
                <w:b/>
                <w:bCs/>
                <w:kern w:val="0"/>
                <w:sz w:val="21"/>
                <w:szCs w:val="21"/>
                <w:vertAlign w:val="baseline"/>
                <w:lang w:val="en-US" w:eastAsia="zh-CN"/>
              </w:rPr>
              <w:t>22之和）</w:t>
            </w:r>
          </w:p>
        </w:tc>
        <w:tc>
          <w:tcPr>
            <w:tcW w:w="1686" w:type="dxa"/>
            <w:shd w:val="clear" w:color="auto" w:fill="D7D7D7" w:themeFill="background1" w:themeFillShade="D8"/>
            <w:vAlign w:val="center"/>
          </w:tcPr>
          <w:p w14:paraId="18F26D6E">
            <w:pPr>
              <w:keepNext w:val="0"/>
              <w:keepLines w:val="0"/>
              <w:widowControl w:val="0"/>
              <w:suppressLineNumbers w:val="0"/>
              <w:spacing w:after="0" w:line="240" w:lineRule="auto"/>
              <w:ind w:firstLine="0" w:firstLineChars="0"/>
              <w:jc w:val="center"/>
              <w:textAlignment w:val="bottom"/>
              <w:rPr>
                <w:rFonts w:hint="default" w:ascii="Arial" w:hAnsi="Arial" w:eastAsia="宋体" w:cs="Arial"/>
                <w:b/>
                <w:bCs/>
                <w:i w:val="0"/>
                <w:iCs w:val="0"/>
                <w:color w:val="000000"/>
                <w:kern w:val="0"/>
                <w:sz w:val="20"/>
                <w:szCs w:val="20"/>
                <w:u w:val="none"/>
                <w:lang w:val="en-US" w:eastAsia="zh-CN" w:bidi="ar"/>
              </w:rPr>
            </w:pPr>
            <w:r>
              <w:rPr>
                <w:rFonts w:hint="default" w:ascii="Arial" w:hAnsi="Arial" w:eastAsia="宋体" w:cs="Arial"/>
                <w:b/>
                <w:bCs/>
                <w:i w:val="0"/>
                <w:iCs w:val="0"/>
                <w:color w:val="000000"/>
                <w:kern w:val="0"/>
                <w:sz w:val="20"/>
                <w:szCs w:val="20"/>
                <w:u w:val="none"/>
                <w:lang w:val="en-US" w:eastAsia="zh-CN" w:bidi="ar"/>
              </w:rPr>
              <w:t>3203282</w:t>
            </w:r>
          </w:p>
        </w:tc>
        <w:tc>
          <w:tcPr>
            <w:tcW w:w="1563" w:type="dxa"/>
            <w:shd w:val="clear" w:color="auto" w:fill="D7D7D7" w:themeFill="background1" w:themeFillShade="D8"/>
            <w:vAlign w:val="center"/>
          </w:tcPr>
          <w:p w14:paraId="7C112A01">
            <w:pPr>
              <w:keepNext w:val="0"/>
              <w:keepLines w:val="0"/>
              <w:widowControl w:val="0"/>
              <w:suppressLineNumbers w:val="0"/>
              <w:spacing w:after="0" w:line="240" w:lineRule="auto"/>
              <w:ind w:firstLine="0" w:firstLineChars="0"/>
              <w:jc w:val="center"/>
              <w:textAlignment w:val="bottom"/>
              <w:rPr>
                <w:rFonts w:hint="default" w:ascii="Arial" w:hAnsi="Arial" w:eastAsia="宋体" w:cs="Arial"/>
                <w:b/>
                <w:bCs/>
                <w:i w:val="0"/>
                <w:iCs w:val="0"/>
                <w:color w:val="000000"/>
                <w:kern w:val="0"/>
                <w:sz w:val="20"/>
                <w:szCs w:val="20"/>
                <w:u w:val="none"/>
                <w:lang w:val="en-US" w:eastAsia="zh-CN" w:bidi="ar"/>
              </w:rPr>
            </w:pPr>
            <w:r>
              <w:rPr>
                <w:rFonts w:hint="default" w:ascii="Arial" w:hAnsi="Arial" w:eastAsia="宋体" w:cs="Arial"/>
                <w:b/>
                <w:bCs/>
                <w:i w:val="0"/>
                <w:iCs w:val="0"/>
                <w:color w:val="000000"/>
                <w:kern w:val="0"/>
                <w:sz w:val="20"/>
                <w:szCs w:val="20"/>
                <w:u w:val="none"/>
                <w:lang w:val="en-US" w:eastAsia="zh-CN" w:bidi="ar"/>
              </w:rPr>
              <w:t>3203282</w:t>
            </w:r>
          </w:p>
        </w:tc>
      </w:tr>
      <w:tr w14:paraId="708DA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7FEF977A">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 w:val="0"/>
                <w:bCs w:val="0"/>
                <w:kern w:val="0"/>
                <w:sz w:val="21"/>
                <w:szCs w:val="21"/>
                <w:vertAlign w:val="baseline"/>
                <w:lang w:val="en-US" w:eastAsia="zh-CN"/>
              </w:rPr>
            </w:pPr>
            <w:r>
              <w:rPr>
                <w:rFonts w:hint="default" w:ascii="Arial" w:hAnsi="Arial" w:eastAsia="宋体" w:cs="Arial"/>
                <w:b w:val="0"/>
                <w:bCs w:val="0"/>
                <w:i w:val="0"/>
                <w:iCs w:val="0"/>
                <w:color w:val="000000"/>
                <w:kern w:val="0"/>
                <w:sz w:val="20"/>
                <w:szCs w:val="20"/>
                <w:u w:val="none"/>
                <w:lang w:val="en-US" w:eastAsia="zh-CN" w:bidi="ar"/>
              </w:rPr>
              <w:t>2</w:t>
            </w:r>
            <w:r>
              <w:rPr>
                <w:rFonts w:hint="eastAsia" w:ascii="Arial" w:hAnsi="Arial" w:cs="Arial"/>
                <w:b w:val="0"/>
                <w:bCs w:val="0"/>
                <w:i w:val="0"/>
                <w:iCs w:val="0"/>
                <w:color w:val="000000"/>
                <w:kern w:val="0"/>
                <w:sz w:val="20"/>
                <w:szCs w:val="20"/>
                <w:u w:val="none"/>
                <w:lang w:val="en-US" w:eastAsia="zh-CN" w:bidi="ar"/>
              </w:rPr>
              <w:t>7</w:t>
            </w:r>
          </w:p>
        </w:tc>
        <w:tc>
          <w:tcPr>
            <w:tcW w:w="2497" w:type="pct"/>
            <w:vAlign w:val="center"/>
          </w:tcPr>
          <w:p w14:paraId="1D63C14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val="0"/>
                <w:bCs w:val="0"/>
                <w:kern w:val="0"/>
                <w:sz w:val="21"/>
                <w:szCs w:val="21"/>
                <w:vertAlign w:val="baseline"/>
                <w:lang w:val="en-US" w:eastAsia="zh-CN"/>
              </w:rPr>
            </w:pPr>
            <w:r>
              <w:rPr>
                <w:rFonts w:hint="default" w:ascii="Arial Narrow" w:hAnsi="Arial Narrow" w:eastAsia="楷体" w:cs="Arial Narrow"/>
                <w:b w:val="0"/>
                <w:bCs w:val="0"/>
                <w:kern w:val="0"/>
                <w:sz w:val="21"/>
                <w:szCs w:val="21"/>
                <w:vertAlign w:val="baseline"/>
                <w:lang w:val="en-US" w:eastAsia="zh-CN"/>
              </w:rPr>
              <w:t>人工费</w:t>
            </w:r>
          </w:p>
        </w:tc>
        <w:tc>
          <w:tcPr>
            <w:tcW w:w="1686" w:type="dxa"/>
            <w:vAlign w:val="center"/>
          </w:tcPr>
          <w:p w14:paraId="60AB36DA">
            <w:pPr>
              <w:keepNext w:val="0"/>
              <w:keepLines w:val="0"/>
              <w:widowControl w:val="0"/>
              <w:suppressLineNumbers w:val="0"/>
              <w:spacing w:after="0" w:line="240" w:lineRule="auto"/>
              <w:ind w:firstLine="0" w:firstLineChars="0"/>
              <w:jc w:val="center"/>
              <w:textAlignment w:val="bottom"/>
              <w:rPr>
                <w:rFonts w:hint="default" w:ascii="Arial" w:hAnsi="Arial" w:eastAsia="宋体" w:cs="Arial"/>
                <w:b w:val="0"/>
                <w:bCs w:val="0"/>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2139296</w:t>
            </w:r>
          </w:p>
        </w:tc>
        <w:tc>
          <w:tcPr>
            <w:tcW w:w="1563" w:type="dxa"/>
            <w:vAlign w:val="center"/>
          </w:tcPr>
          <w:p w14:paraId="632D12EC">
            <w:pPr>
              <w:keepNext w:val="0"/>
              <w:keepLines w:val="0"/>
              <w:widowControl w:val="0"/>
              <w:suppressLineNumbers w:val="0"/>
              <w:spacing w:after="0" w:line="240" w:lineRule="auto"/>
              <w:ind w:firstLine="0" w:firstLineChars="0"/>
              <w:jc w:val="center"/>
              <w:textAlignment w:val="bottom"/>
              <w:rPr>
                <w:rFonts w:hint="default" w:ascii="Arial" w:hAnsi="Arial" w:eastAsia="宋体" w:cs="Arial"/>
                <w:b w:val="0"/>
                <w:bCs w:val="0"/>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2139296</w:t>
            </w:r>
          </w:p>
        </w:tc>
      </w:tr>
      <w:tr w14:paraId="01688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7C94A92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eastAsia" w:ascii="Arial" w:hAnsi="Arial" w:cs="Arial"/>
                <w:i w:val="0"/>
                <w:iCs w:val="0"/>
                <w:color w:val="000000"/>
                <w:kern w:val="0"/>
                <w:sz w:val="20"/>
                <w:szCs w:val="20"/>
                <w:u w:val="none"/>
                <w:lang w:val="en-US" w:eastAsia="zh-CN" w:bidi="ar"/>
              </w:rPr>
              <w:t>28</w:t>
            </w:r>
          </w:p>
        </w:tc>
        <w:tc>
          <w:tcPr>
            <w:tcW w:w="2497" w:type="pct"/>
            <w:vAlign w:val="center"/>
          </w:tcPr>
          <w:p w14:paraId="381D66FC">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机械费</w:t>
            </w:r>
          </w:p>
        </w:tc>
        <w:tc>
          <w:tcPr>
            <w:tcW w:w="1686" w:type="dxa"/>
            <w:vAlign w:val="center"/>
          </w:tcPr>
          <w:p w14:paraId="75E292AD">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352905</w:t>
            </w:r>
          </w:p>
        </w:tc>
        <w:tc>
          <w:tcPr>
            <w:tcW w:w="1563" w:type="dxa"/>
            <w:vAlign w:val="center"/>
          </w:tcPr>
          <w:p w14:paraId="0A41D5A3">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352905</w:t>
            </w:r>
          </w:p>
        </w:tc>
      </w:tr>
      <w:tr w14:paraId="0D1D8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0F29430A">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eastAsia" w:ascii="Arial" w:hAnsi="Arial" w:cs="Arial"/>
                <w:i w:val="0"/>
                <w:iCs w:val="0"/>
                <w:color w:val="000000"/>
                <w:kern w:val="0"/>
                <w:sz w:val="20"/>
                <w:szCs w:val="20"/>
                <w:u w:val="none"/>
                <w:lang w:val="en-US" w:eastAsia="zh-CN" w:bidi="ar"/>
              </w:rPr>
              <w:t>29</w:t>
            </w:r>
          </w:p>
        </w:tc>
        <w:tc>
          <w:tcPr>
            <w:tcW w:w="2497" w:type="pct"/>
            <w:vAlign w:val="center"/>
          </w:tcPr>
          <w:p w14:paraId="0AA474D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材料费</w:t>
            </w:r>
          </w:p>
        </w:tc>
        <w:tc>
          <w:tcPr>
            <w:tcW w:w="1686" w:type="dxa"/>
            <w:vAlign w:val="center"/>
          </w:tcPr>
          <w:p w14:paraId="36614AAC">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508797</w:t>
            </w:r>
          </w:p>
        </w:tc>
        <w:tc>
          <w:tcPr>
            <w:tcW w:w="1563" w:type="dxa"/>
            <w:vAlign w:val="center"/>
          </w:tcPr>
          <w:p w14:paraId="17650042">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508797</w:t>
            </w:r>
          </w:p>
        </w:tc>
      </w:tr>
      <w:tr w14:paraId="1B51D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shd w:val="clear" w:color="auto" w:fill="D7D7D7" w:themeFill="background1" w:themeFillShade="D8"/>
            <w:vAlign w:val="center"/>
          </w:tcPr>
          <w:p w14:paraId="588994B3">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
                <w:bCs/>
                <w:kern w:val="0"/>
                <w:sz w:val="21"/>
                <w:szCs w:val="21"/>
                <w:vertAlign w:val="baseline"/>
                <w:lang w:val="en-US" w:eastAsia="zh-CN"/>
              </w:rPr>
            </w:pPr>
            <w:r>
              <w:rPr>
                <w:rFonts w:hint="default" w:ascii="Arial" w:hAnsi="Arial" w:eastAsia="宋体" w:cs="Arial"/>
                <w:b/>
                <w:bCs/>
                <w:i w:val="0"/>
                <w:iCs w:val="0"/>
                <w:color w:val="000000"/>
                <w:kern w:val="0"/>
                <w:sz w:val="20"/>
                <w:szCs w:val="20"/>
                <w:u w:val="none"/>
                <w:lang w:val="en-US" w:eastAsia="zh-CN" w:bidi="ar"/>
              </w:rPr>
              <w:t>3</w:t>
            </w:r>
            <w:r>
              <w:rPr>
                <w:rFonts w:hint="eastAsia" w:ascii="Arial" w:hAnsi="Arial" w:cs="Arial"/>
                <w:b/>
                <w:bCs/>
                <w:i w:val="0"/>
                <w:iCs w:val="0"/>
                <w:color w:val="000000"/>
                <w:kern w:val="0"/>
                <w:sz w:val="20"/>
                <w:szCs w:val="20"/>
                <w:u w:val="none"/>
                <w:lang w:val="en-US" w:eastAsia="zh-CN" w:bidi="ar"/>
              </w:rPr>
              <w:t>0</w:t>
            </w:r>
          </w:p>
        </w:tc>
        <w:tc>
          <w:tcPr>
            <w:tcW w:w="2497" w:type="pct"/>
            <w:shd w:val="clear" w:color="auto" w:fill="D7D7D7" w:themeFill="background1" w:themeFillShade="D8"/>
            <w:vAlign w:val="center"/>
          </w:tcPr>
          <w:p w14:paraId="5E36D4B1">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kern w:val="0"/>
                <w:sz w:val="21"/>
                <w:szCs w:val="21"/>
                <w:vertAlign w:val="baseline"/>
                <w:lang w:val="en-US" w:eastAsia="zh-CN"/>
              </w:rPr>
            </w:pPr>
            <w:r>
              <w:rPr>
                <w:rFonts w:hint="default" w:ascii="Arial Narrow" w:hAnsi="Arial Narrow" w:eastAsia="楷体" w:cs="Arial Narrow"/>
                <w:b/>
                <w:bCs/>
                <w:kern w:val="0"/>
                <w:sz w:val="21"/>
                <w:szCs w:val="21"/>
                <w:vertAlign w:val="baseline"/>
                <w:lang w:val="en-US" w:eastAsia="zh-CN"/>
              </w:rPr>
              <w:t>人材机</w:t>
            </w:r>
            <w:r>
              <w:rPr>
                <w:rFonts w:hint="eastAsia" w:ascii="Arial Narrow" w:hAnsi="Arial Narrow" w:eastAsia="楷体" w:cs="Arial Narrow"/>
                <w:b/>
                <w:bCs/>
                <w:kern w:val="0"/>
                <w:sz w:val="21"/>
                <w:szCs w:val="21"/>
                <w:vertAlign w:val="baseline"/>
                <w:lang w:val="en-US" w:eastAsia="zh-CN"/>
              </w:rPr>
              <w:t>小</w:t>
            </w:r>
            <w:r>
              <w:rPr>
                <w:rFonts w:hint="default" w:ascii="Arial Narrow" w:hAnsi="Arial Narrow" w:eastAsia="楷体" w:cs="Arial Narrow"/>
                <w:b/>
                <w:bCs/>
                <w:kern w:val="0"/>
                <w:sz w:val="21"/>
                <w:szCs w:val="21"/>
                <w:vertAlign w:val="baseline"/>
                <w:lang w:val="en-US" w:eastAsia="zh-CN"/>
              </w:rPr>
              <w:t>计</w:t>
            </w:r>
            <w:r>
              <w:rPr>
                <w:rFonts w:hint="eastAsia" w:ascii="Arial Narrow" w:hAnsi="Arial Narrow" w:eastAsia="楷体" w:cs="Arial Narrow"/>
                <w:b/>
                <w:bCs/>
                <w:kern w:val="0"/>
                <w:sz w:val="21"/>
                <w:szCs w:val="21"/>
                <w:vertAlign w:val="baseline"/>
                <w:lang w:val="en-US" w:eastAsia="zh-CN"/>
              </w:rPr>
              <w:t>（24</w:t>
            </w:r>
            <w:r>
              <w:rPr>
                <w:rFonts w:hint="default" w:ascii="Times New Roman" w:hAnsi="Times New Roman" w:eastAsia="楷体" w:cs="Times New Roman"/>
                <w:b/>
                <w:bCs/>
                <w:kern w:val="0"/>
                <w:sz w:val="21"/>
                <w:szCs w:val="21"/>
                <w:vertAlign w:val="baseline"/>
                <w:lang w:val="en-US" w:eastAsia="zh-CN"/>
              </w:rPr>
              <w:t>~</w:t>
            </w:r>
            <w:r>
              <w:rPr>
                <w:rFonts w:hint="eastAsia" w:ascii="Arial Narrow" w:hAnsi="Arial Narrow" w:eastAsia="楷体" w:cs="Arial Narrow"/>
                <w:b/>
                <w:bCs/>
                <w:kern w:val="0"/>
                <w:sz w:val="21"/>
                <w:szCs w:val="21"/>
                <w:vertAlign w:val="baseline"/>
                <w:lang w:val="en-US" w:eastAsia="zh-CN"/>
              </w:rPr>
              <w:t>26之和）</w:t>
            </w:r>
          </w:p>
        </w:tc>
        <w:tc>
          <w:tcPr>
            <w:tcW w:w="1686" w:type="dxa"/>
            <w:shd w:val="clear" w:color="auto" w:fill="D7D7D7" w:themeFill="background1" w:themeFillShade="D8"/>
            <w:vAlign w:val="center"/>
          </w:tcPr>
          <w:p w14:paraId="3076BF39">
            <w:pPr>
              <w:keepNext w:val="0"/>
              <w:keepLines w:val="0"/>
              <w:widowControl w:val="0"/>
              <w:suppressLineNumbers w:val="0"/>
              <w:spacing w:after="0" w:line="240" w:lineRule="auto"/>
              <w:ind w:firstLine="0" w:firstLineChars="0"/>
              <w:jc w:val="center"/>
              <w:textAlignment w:val="bottom"/>
              <w:rPr>
                <w:rFonts w:hint="default" w:ascii="Arial" w:hAnsi="Arial" w:eastAsia="宋体" w:cs="Arial"/>
                <w:b/>
                <w:bCs/>
                <w:i w:val="0"/>
                <w:iCs w:val="0"/>
                <w:color w:val="000000"/>
                <w:kern w:val="0"/>
                <w:sz w:val="20"/>
                <w:szCs w:val="20"/>
                <w:u w:val="none"/>
                <w:lang w:val="en-US" w:eastAsia="zh-CN" w:bidi="ar"/>
              </w:rPr>
            </w:pPr>
            <w:r>
              <w:rPr>
                <w:rFonts w:hint="default" w:ascii="Arial" w:hAnsi="Arial" w:eastAsia="宋体" w:cs="Arial"/>
                <w:b/>
                <w:bCs/>
                <w:i w:val="0"/>
                <w:iCs w:val="0"/>
                <w:color w:val="000000"/>
                <w:kern w:val="0"/>
                <w:sz w:val="20"/>
                <w:szCs w:val="20"/>
                <w:u w:val="none"/>
                <w:lang w:val="en-US" w:eastAsia="zh-CN" w:bidi="ar"/>
              </w:rPr>
              <w:t>3000998</w:t>
            </w:r>
          </w:p>
        </w:tc>
        <w:tc>
          <w:tcPr>
            <w:tcW w:w="1563" w:type="dxa"/>
            <w:shd w:val="clear" w:color="auto" w:fill="D7D7D7" w:themeFill="background1" w:themeFillShade="D8"/>
            <w:vAlign w:val="center"/>
          </w:tcPr>
          <w:p w14:paraId="50668CA4">
            <w:pPr>
              <w:keepNext w:val="0"/>
              <w:keepLines w:val="0"/>
              <w:widowControl w:val="0"/>
              <w:suppressLineNumbers w:val="0"/>
              <w:spacing w:after="0" w:line="240" w:lineRule="auto"/>
              <w:ind w:firstLine="0" w:firstLineChars="0"/>
              <w:jc w:val="center"/>
              <w:textAlignment w:val="bottom"/>
              <w:rPr>
                <w:rFonts w:hint="default" w:ascii="Arial" w:hAnsi="Arial" w:eastAsia="宋体" w:cs="Arial"/>
                <w:b/>
                <w:bCs/>
                <w:i w:val="0"/>
                <w:iCs w:val="0"/>
                <w:color w:val="000000"/>
                <w:kern w:val="0"/>
                <w:sz w:val="20"/>
                <w:szCs w:val="20"/>
                <w:u w:val="none"/>
                <w:lang w:val="en-US" w:eastAsia="zh-CN" w:bidi="ar"/>
              </w:rPr>
            </w:pPr>
            <w:r>
              <w:rPr>
                <w:rFonts w:hint="default" w:ascii="Arial" w:hAnsi="Arial" w:eastAsia="宋体" w:cs="Arial"/>
                <w:b/>
                <w:bCs/>
                <w:i w:val="0"/>
                <w:iCs w:val="0"/>
                <w:color w:val="000000"/>
                <w:kern w:val="0"/>
                <w:sz w:val="20"/>
                <w:szCs w:val="20"/>
                <w:u w:val="none"/>
                <w:lang w:val="en-US" w:eastAsia="zh-CN" w:bidi="ar"/>
              </w:rPr>
              <w:t>3000998</w:t>
            </w:r>
          </w:p>
        </w:tc>
      </w:tr>
      <w:tr w14:paraId="245DE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35C8E7A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default" w:ascii="Arial" w:hAnsi="Arial" w:eastAsia="宋体" w:cs="Arial"/>
                <w:i w:val="0"/>
                <w:iCs w:val="0"/>
                <w:color w:val="000000"/>
                <w:kern w:val="0"/>
                <w:sz w:val="20"/>
                <w:szCs w:val="20"/>
                <w:u w:val="none"/>
                <w:lang w:val="en-US" w:eastAsia="zh-CN" w:bidi="ar"/>
              </w:rPr>
              <w:t>3</w:t>
            </w:r>
            <w:r>
              <w:rPr>
                <w:rFonts w:hint="eastAsia" w:ascii="Arial" w:hAnsi="Arial" w:cs="Arial"/>
                <w:i w:val="0"/>
                <w:iCs w:val="0"/>
                <w:color w:val="000000"/>
                <w:kern w:val="0"/>
                <w:sz w:val="20"/>
                <w:szCs w:val="20"/>
                <w:u w:val="none"/>
                <w:lang w:val="en-US" w:eastAsia="zh-CN" w:bidi="ar"/>
              </w:rPr>
              <w:t>1</w:t>
            </w:r>
          </w:p>
        </w:tc>
        <w:tc>
          <w:tcPr>
            <w:tcW w:w="2497" w:type="pct"/>
            <w:vAlign w:val="center"/>
          </w:tcPr>
          <w:p w14:paraId="4BA4614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企业管理费</w:t>
            </w:r>
            <w:r>
              <w:rPr>
                <w:rFonts w:hint="eastAsia" w:ascii="Arial Narrow" w:hAnsi="Arial Narrow" w:eastAsia="楷体" w:cs="Arial Narrow"/>
                <w:bCs/>
                <w:kern w:val="0"/>
                <w:sz w:val="21"/>
                <w:szCs w:val="21"/>
                <w:vertAlign w:val="baseline"/>
                <w:lang w:val="en-US" w:eastAsia="zh-CN"/>
              </w:rPr>
              <w:t>（8.05%）</w:t>
            </w:r>
          </w:p>
        </w:tc>
        <w:tc>
          <w:tcPr>
            <w:tcW w:w="1686" w:type="dxa"/>
            <w:vAlign w:val="center"/>
          </w:tcPr>
          <w:p w14:paraId="516E6B8E">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200622</w:t>
            </w:r>
          </w:p>
        </w:tc>
        <w:tc>
          <w:tcPr>
            <w:tcW w:w="1563" w:type="dxa"/>
            <w:vAlign w:val="center"/>
          </w:tcPr>
          <w:p w14:paraId="2E2004DF">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200622</w:t>
            </w:r>
          </w:p>
        </w:tc>
      </w:tr>
      <w:tr w14:paraId="25ECF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24E13AFE">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default" w:ascii="Arial" w:hAnsi="Arial" w:eastAsia="宋体" w:cs="Arial"/>
                <w:i w:val="0"/>
                <w:iCs w:val="0"/>
                <w:color w:val="000000"/>
                <w:kern w:val="0"/>
                <w:sz w:val="20"/>
                <w:szCs w:val="20"/>
                <w:u w:val="none"/>
                <w:lang w:val="en-US" w:eastAsia="zh-CN" w:bidi="ar"/>
              </w:rPr>
              <w:t>3</w:t>
            </w:r>
            <w:r>
              <w:rPr>
                <w:rFonts w:hint="eastAsia" w:ascii="Arial" w:hAnsi="Arial" w:cs="Arial"/>
                <w:i w:val="0"/>
                <w:iCs w:val="0"/>
                <w:color w:val="000000"/>
                <w:kern w:val="0"/>
                <w:sz w:val="20"/>
                <w:szCs w:val="20"/>
                <w:u w:val="none"/>
                <w:lang w:val="en-US" w:eastAsia="zh-CN" w:bidi="ar"/>
              </w:rPr>
              <w:t>2</w:t>
            </w:r>
          </w:p>
        </w:tc>
        <w:tc>
          <w:tcPr>
            <w:tcW w:w="2497" w:type="pct"/>
            <w:vAlign w:val="center"/>
          </w:tcPr>
          <w:p w14:paraId="5BC55F1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利润</w:t>
            </w:r>
            <w:r>
              <w:rPr>
                <w:rFonts w:hint="eastAsia" w:ascii="Arial Narrow" w:hAnsi="Arial Narrow" w:eastAsia="楷体" w:cs="Arial Narrow"/>
                <w:bCs/>
                <w:kern w:val="0"/>
                <w:sz w:val="21"/>
                <w:szCs w:val="21"/>
                <w:vertAlign w:val="baseline"/>
                <w:lang w:val="en-US" w:eastAsia="zh-CN"/>
              </w:rPr>
              <w:t>（6.06%）</w:t>
            </w:r>
          </w:p>
        </w:tc>
        <w:tc>
          <w:tcPr>
            <w:tcW w:w="1686" w:type="dxa"/>
            <w:vAlign w:val="center"/>
          </w:tcPr>
          <w:p w14:paraId="38589A6C">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151028</w:t>
            </w:r>
          </w:p>
        </w:tc>
        <w:tc>
          <w:tcPr>
            <w:tcW w:w="1563" w:type="dxa"/>
            <w:vAlign w:val="center"/>
          </w:tcPr>
          <w:p w14:paraId="62426739">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151028</w:t>
            </w:r>
          </w:p>
        </w:tc>
      </w:tr>
      <w:tr w14:paraId="788B9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1C2F11C6">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 w:val="0"/>
                <w:bCs w:val="0"/>
                <w:kern w:val="0"/>
                <w:sz w:val="21"/>
                <w:szCs w:val="21"/>
                <w:vertAlign w:val="baseline"/>
                <w:lang w:val="en-US" w:eastAsia="zh-CN"/>
              </w:rPr>
            </w:pPr>
            <w:r>
              <w:rPr>
                <w:rFonts w:hint="eastAsia" w:ascii="Arial" w:hAnsi="Arial" w:cs="Arial"/>
                <w:b w:val="0"/>
                <w:bCs w:val="0"/>
                <w:i w:val="0"/>
                <w:iCs w:val="0"/>
                <w:color w:val="000000"/>
                <w:kern w:val="0"/>
                <w:sz w:val="20"/>
                <w:szCs w:val="20"/>
                <w:u w:val="none"/>
                <w:lang w:val="en-US" w:eastAsia="zh-CN" w:bidi="ar"/>
              </w:rPr>
              <w:t>33</w:t>
            </w:r>
          </w:p>
        </w:tc>
        <w:tc>
          <w:tcPr>
            <w:tcW w:w="2497" w:type="pct"/>
            <w:vAlign w:val="center"/>
          </w:tcPr>
          <w:p w14:paraId="121BF3E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val="0"/>
                <w:bCs w:val="0"/>
                <w:kern w:val="0"/>
                <w:sz w:val="21"/>
                <w:szCs w:val="21"/>
                <w:vertAlign w:val="baseline"/>
                <w:lang w:val="en-US" w:eastAsia="zh-CN"/>
              </w:rPr>
            </w:pPr>
            <w:r>
              <w:rPr>
                <w:rFonts w:hint="default" w:ascii="Arial Narrow" w:hAnsi="Arial Narrow" w:eastAsia="楷体" w:cs="Arial Narrow"/>
                <w:b w:val="0"/>
                <w:bCs w:val="0"/>
                <w:kern w:val="0"/>
                <w:sz w:val="21"/>
                <w:szCs w:val="21"/>
                <w:vertAlign w:val="baseline"/>
                <w:lang w:val="en-US" w:eastAsia="zh-CN"/>
              </w:rPr>
              <w:t>措施项目费</w:t>
            </w:r>
            <w:r>
              <w:rPr>
                <w:rFonts w:hint="eastAsia" w:ascii="Arial Narrow" w:hAnsi="Arial Narrow" w:eastAsia="楷体" w:cs="Arial Narrow"/>
                <w:b w:val="0"/>
                <w:bCs w:val="0"/>
                <w:kern w:val="0"/>
                <w:sz w:val="21"/>
                <w:szCs w:val="21"/>
                <w:vertAlign w:val="baseline"/>
                <w:lang w:val="en-US" w:eastAsia="zh-CN"/>
              </w:rPr>
              <w:t>（4.29%）</w:t>
            </w:r>
          </w:p>
        </w:tc>
        <w:tc>
          <w:tcPr>
            <w:tcW w:w="1686" w:type="dxa"/>
            <w:vAlign w:val="center"/>
          </w:tcPr>
          <w:p w14:paraId="2BDA3278">
            <w:pPr>
              <w:keepNext w:val="0"/>
              <w:keepLines w:val="0"/>
              <w:widowControl w:val="0"/>
              <w:suppressLineNumbers w:val="0"/>
              <w:spacing w:after="0" w:line="240" w:lineRule="auto"/>
              <w:ind w:firstLine="0" w:firstLineChars="0"/>
              <w:jc w:val="center"/>
              <w:textAlignment w:val="bottom"/>
              <w:rPr>
                <w:rFonts w:hint="default" w:ascii="Arial" w:hAnsi="Arial" w:eastAsia="宋体" w:cs="Arial"/>
                <w:b w:val="0"/>
                <w:bCs w:val="0"/>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106915</w:t>
            </w:r>
          </w:p>
        </w:tc>
        <w:tc>
          <w:tcPr>
            <w:tcW w:w="1563" w:type="dxa"/>
            <w:vAlign w:val="center"/>
          </w:tcPr>
          <w:p w14:paraId="61183920">
            <w:pPr>
              <w:keepNext w:val="0"/>
              <w:keepLines w:val="0"/>
              <w:widowControl w:val="0"/>
              <w:suppressLineNumbers w:val="0"/>
              <w:spacing w:after="0" w:line="240" w:lineRule="auto"/>
              <w:ind w:firstLine="0" w:firstLineChars="0"/>
              <w:jc w:val="center"/>
              <w:textAlignment w:val="bottom"/>
              <w:rPr>
                <w:rFonts w:hint="default" w:ascii="Arial" w:hAnsi="Arial" w:eastAsia="宋体" w:cs="Arial"/>
                <w:b w:val="0"/>
                <w:bCs w:val="0"/>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106915</w:t>
            </w:r>
          </w:p>
        </w:tc>
      </w:tr>
      <w:tr w14:paraId="41413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14" w:type="dxa"/>
            <w:vAlign w:val="center"/>
          </w:tcPr>
          <w:p w14:paraId="7E70090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 w:val="0"/>
                <w:bCs w:val="0"/>
                <w:kern w:val="0"/>
                <w:sz w:val="21"/>
                <w:szCs w:val="21"/>
                <w:vertAlign w:val="baseline"/>
                <w:lang w:val="en-US" w:eastAsia="zh-CN"/>
              </w:rPr>
            </w:pPr>
            <w:r>
              <w:rPr>
                <w:rFonts w:hint="default" w:ascii="Arial" w:hAnsi="Arial" w:eastAsia="宋体" w:cs="Arial"/>
                <w:b w:val="0"/>
                <w:bCs w:val="0"/>
                <w:i w:val="0"/>
                <w:iCs w:val="0"/>
                <w:color w:val="000000"/>
                <w:kern w:val="0"/>
                <w:sz w:val="20"/>
                <w:szCs w:val="20"/>
                <w:u w:val="none"/>
                <w:lang w:val="en-US" w:eastAsia="zh-CN" w:bidi="ar"/>
              </w:rPr>
              <w:t>3</w:t>
            </w:r>
            <w:r>
              <w:rPr>
                <w:rFonts w:hint="eastAsia" w:ascii="Arial" w:hAnsi="Arial" w:cs="Arial"/>
                <w:b w:val="0"/>
                <w:bCs w:val="0"/>
                <w:i w:val="0"/>
                <w:iCs w:val="0"/>
                <w:color w:val="000000"/>
                <w:kern w:val="0"/>
                <w:sz w:val="20"/>
                <w:szCs w:val="20"/>
                <w:u w:val="none"/>
                <w:lang w:val="en-US" w:eastAsia="zh-CN" w:bidi="ar"/>
              </w:rPr>
              <w:t>4</w:t>
            </w:r>
          </w:p>
        </w:tc>
        <w:tc>
          <w:tcPr>
            <w:tcW w:w="2497" w:type="pct"/>
            <w:vAlign w:val="center"/>
          </w:tcPr>
          <w:p w14:paraId="538C15B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val="0"/>
                <w:bCs w:val="0"/>
                <w:kern w:val="0"/>
                <w:sz w:val="21"/>
                <w:szCs w:val="21"/>
                <w:vertAlign w:val="baseline"/>
                <w:lang w:val="en-US" w:eastAsia="zh-CN"/>
              </w:rPr>
            </w:pPr>
            <w:r>
              <w:rPr>
                <w:rFonts w:hint="default" w:ascii="Arial Narrow" w:hAnsi="Arial Narrow" w:eastAsia="楷体" w:cs="Arial Narrow"/>
                <w:b w:val="0"/>
                <w:bCs w:val="0"/>
                <w:kern w:val="0"/>
                <w:sz w:val="21"/>
                <w:szCs w:val="21"/>
                <w:vertAlign w:val="baseline"/>
                <w:lang w:val="en-US" w:eastAsia="zh-CN"/>
              </w:rPr>
              <w:t>规费</w:t>
            </w:r>
            <w:r>
              <w:rPr>
                <w:rFonts w:hint="eastAsia" w:ascii="Arial Narrow" w:hAnsi="Arial Narrow" w:eastAsia="楷体" w:cs="Arial Narrow"/>
                <w:b w:val="0"/>
                <w:bCs w:val="0"/>
                <w:kern w:val="0"/>
                <w:sz w:val="21"/>
                <w:szCs w:val="21"/>
                <w:vertAlign w:val="baseline"/>
                <w:lang w:val="en-US" w:eastAsia="zh-CN"/>
              </w:rPr>
              <w:t>（20.42%）</w:t>
            </w:r>
          </w:p>
        </w:tc>
        <w:tc>
          <w:tcPr>
            <w:tcW w:w="1686" w:type="dxa"/>
            <w:vAlign w:val="center"/>
          </w:tcPr>
          <w:p w14:paraId="4BC6A439">
            <w:pPr>
              <w:keepNext w:val="0"/>
              <w:keepLines w:val="0"/>
              <w:widowControl w:val="0"/>
              <w:suppressLineNumbers w:val="0"/>
              <w:spacing w:after="0" w:line="240" w:lineRule="auto"/>
              <w:ind w:firstLine="0" w:firstLineChars="0"/>
              <w:jc w:val="center"/>
              <w:textAlignment w:val="bottom"/>
              <w:rPr>
                <w:rFonts w:hint="default" w:ascii="Arial" w:hAnsi="Arial" w:eastAsia="宋体" w:cs="Arial"/>
                <w:b w:val="0"/>
                <w:bCs w:val="0"/>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508908</w:t>
            </w:r>
          </w:p>
        </w:tc>
        <w:tc>
          <w:tcPr>
            <w:tcW w:w="1563" w:type="dxa"/>
            <w:vAlign w:val="center"/>
          </w:tcPr>
          <w:p w14:paraId="6BBA8466">
            <w:pPr>
              <w:keepNext w:val="0"/>
              <w:keepLines w:val="0"/>
              <w:widowControl w:val="0"/>
              <w:suppressLineNumbers w:val="0"/>
              <w:spacing w:after="0" w:line="240" w:lineRule="auto"/>
              <w:ind w:firstLine="0" w:firstLineChars="0"/>
              <w:jc w:val="center"/>
              <w:textAlignment w:val="bottom"/>
              <w:rPr>
                <w:rFonts w:hint="default" w:ascii="Arial" w:hAnsi="Arial" w:eastAsia="宋体" w:cs="Arial"/>
                <w:b w:val="0"/>
                <w:bCs w:val="0"/>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508908</w:t>
            </w:r>
          </w:p>
        </w:tc>
      </w:tr>
      <w:tr w14:paraId="0EC6C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595" w:type="pct"/>
            <w:vAlign w:val="center"/>
          </w:tcPr>
          <w:p w14:paraId="1356041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Cs/>
                <w:kern w:val="0"/>
                <w:sz w:val="21"/>
                <w:szCs w:val="21"/>
                <w:vertAlign w:val="baseline"/>
                <w:lang w:val="en-US" w:eastAsia="zh-CN"/>
              </w:rPr>
            </w:pPr>
            <w:r>
              <w:rPr>
                <w:rFonts w:hint="eastAsia" w:ascii="Arial" w:hAnsi="Arial" w:cs="Arial"/>
                <w:i w:val="0"/>
                <w:iCs w:val="0"/>
                <w:color w:val="000000"/>
                <w:kern w:val="0"/>
                <w:sz w:val="20"/>
                <w:szCs w:val="20"/>
                <w:u w:val="none"/>
                <w:lang w:val="en-US" w:eastAsia="zh-CN" w:bidi="ar"/>
              </w:rPr>
              <w:t>35</w:t>
            </w:r>
          </w:p>
        </w:tc>
        <w:tc>
          <w:tcPr>
            <w:tcW w:w="2497" w:type="pct"/>
            <w:vAlign w:val="center"/>
          </w:tcPr>
          <w:p w14:paraId="781EC286">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Cs/>
                <w:kern w:val="0"/>
                <w:sz w:val="21"/>
                <w:szCs w:val="21"/>
                <w:vertAlign w:val="baseline"/>
                <w:lang w:val="en-US" w:eastAsia="zh-CN"/>
              </w:rPr>
            </w:pPr>
            <w:r>
              <w:rPr>
                <w:rFonts w:hint="default" w:ascii="Arial Narrow" w:hAnsi="Arial Narrow" w:eastAsia="楷体" w:cs="Arial Narrow"/>
                <w:bCs/>
                <w:kern w:val="0"/>
                <w:sz w:val="21"/>
                <w:szCs w:val="21"/>
                <w:vertAlign w:val="baseline"/>
                <w:lang w:val="en-US" w:eastAsia="zh-CN"/>
              </w:rPr>
              <w:t>增值税</w:t>
            </w:r>
            <w:r>
              <w:rPr>
                <w:rFonts w:hint="eastAsia" w:ascii="Arial Narrow" w:hAnsi="Arial Narrow" w:eastAsia="楷体" w:cs="Arial Narrow"/>
                <w:bCs/>
                <w:kern w:val="0"/>
                <w:sz w:val="21"/>
                <w:szCs w:val="21"/>
                <w:vertAlign w:val="baseline"/>
                <w:lang w:val="en-US" w:eastAsia="zh-CN"/>
              </w:rPr>
              <w:t>（9%）</w:t>
            </w:r>
          </w:p>
        </w:tc>
        <w:tc>
          <w:tcPr>
            <w:tcW w:w="1686" w:type="dxa"/>
            <w:vAlign w:val="center"/>
          </w:tcPr>
          <w:p w14:paraId="78843CD1">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357162</w:t>
            </w:r>
          </w:p>
        </w:tc>
        <w:tc>
          <w:tcPr>
            <w:tcW w:w="1563" w:type="dxa"/>
            <w:vAlign w:val="center"/>
          </w:tcPr>
          <w:p w14:paraId="7AE90644">
            <w:pPr>
              <w:keepNext w:val="0"/>
              <w:keepLines w:val="0"/>
              <w:widowControl w:val="0"/>
              <w:suppressLineNumbers w:val="0"/>
              <w:spacing w:after="0" w:line="240" w:lineRule="auto"/>
              <w:ind w:firstLine="0" w:firstLineChars="0"/>
              <w:jc w:val="center"/>
              <w:textAlignment w:val="bottom"/>
              <w:rPr>
                <w:rFonts w:hint="default" w:ascii="Arial" w:hAnsi="Arial" w:eastAsia="宋体" w:cs="Arial"/>
                <w:i w:val="0"/>
                <w:iCs w:val="0"/>
                <w:color w:val="000000"/>
                <w:kern w:val="0"/>
                <w:sz w:val="20"/>
                <w:szCs w:val="20"/>
                <w:u w:val="none"/>
                <w:lang w:val="en-US" w:eastAsia="zh-CN" w:bidi="ar"/>
              </w:rPr>
            </w:pPr>
            <w:r>
              <w:rPr>
                <w:rFonts w:hint="default" w:ascii="Arial" w:hAnsi="Arial" w:eastAsia="宋体" w:cs="Arial"/>
                <w:i w:val="0"/>
                <w:iCs w:val="0"/>
                <w:color w:val="000000"/>
                <w:kern w:val="0"/>
                <w:sz w:val="20"/>
                <w:szCs w:val="20"/>
                <w:u w:val="none"/>
                <w:lang w:val="en-US" w:eastAsia="zh-CN" w:bidi="ar"/>
              </w:rPr>
              <w:t>357162</w:t>
            </w:r>
          </w:p>
        </w:tc>
      </w:tr>
      <w:tr w14:paraId="159A0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595" w:type="pct"/>
            <w:shd w:val="clear" w:color="auto" w:fill="D7D7D7" w:themeFill="background1" w:themeFillShade="D8"/>
            <w:vAlign w:val="center"/>
          </w:tcPr>
          <w:p w14:paraId="2CFDF85B">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w:hAnsi="Arial" w:eastAsia="宋体" w:cs="Arial"/>
                <w:b/>
                <w:bCs/>
                <w:i w:val="0"/>
                <w:iCs w:val="0"/>
                <w:color w:val="000000"/>
                <w:kern w:val="0"/>
                <w:sz w:val="20"/>
                <w:szCs w:val="20"/>
                <w:u w:val="none"/>
                <w:lang w:val="en-US" w:eastAsia="zh-CN" w:bidi="ar"/>
              </w:rPr>
            </w:pPr>
            <w:r>
              <w:rPr>
                <w:rFonts w:hint="eastAsia" w:ascii="Arial" w:hAnsi="Arial" w:cs="Arial"/>
                <w:b/>
                <w:bCs/>
                <w:i w:val="0"/>
                <w:iCs w:val="0"/>
                <w:color w:val="000000"/>
                <w:kern w:val="0"/>
                <w:sz w:val="20"/>
                <w:szCs w:val="20"/>
                <w:u w:val="none"/>
                <w:lang w:val="en-US" w:eastAsia="zh-CN" w:bidi="ar"/>
              </w:rPr>
              <w:t>36</w:t>
            </w:r>
          </w:p>
        </w:tc>
        <w:tc>
          <w:tcPr>
            <w:tcW w:w="2497" w:type="pct"/>
            <w:shd w:val="clear" w:color="auto" w:fill="D7D7D7" w:themeFill="background1" w:themeFillShade="D8"/>
            <w:vAlign w:val="center"/>
          </w:tcPr>
          <w:p w14:paraId="2FC1F6F7">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kern w:val="0"/>
                <w:sz w:val="21"/>
                <w:szCs w:val="21"/>
                <w:vertAlign w:val="baseline"/>
                <w:lang w:val="en-US" w:eastAsia="zh-CN"/>
              </w:rPr>
            </w:pPr>
            <w:r>
              <w:rPr>
                <w:rFonts w:hint="eastAsia" w:ascii="Arial Narrow" w:hAnsi="Arial Narrow" w:eastAsia="楷体" w:cs="Arial Narrow"/>
                <w:b/>
                <w:bCs/>
                <w:kern w:val="0"/>
                <w:sz w:val="21"/>
                <w:szCs w:val="21"/>
                <w:vertAlign w:val="baseline"/>
                <w:lang w:val="en-US" w:eastAsia="zh-CN"/>
              </w:rPr>
              <w:t>其他费用小计（28</w:t>
            </w:r>
            <w:r>
              <w:rPr>
                <w:rFonts w:hint="default" w:ascii="Times New Roman" w:hAnsi="Times New Roman" w:eastAsia="楷体" w:cs="Times New Roman"/>
                <w:b/>
                <w:bCs/>
                <w:kern w:val="0"/>
                <w:sz w:val="21"/>
                <w:szCs w:val="21"/>
                <w:vertAlign w:val="baseline"/>
                <w:lang w:val="en-US" w:eastAsia="zh-CN"/>
              </w:rPr>
              <w:t>~</w:t>
            </w:r>
            <w:r>
              <w:rPr>
                <w:rFonts w:hint="eastAsia" w:ascii="Arial Narrow" w:hAnsi="Arial Narrow" w:eastAsia="楷体" w:cs="Arial Narrow"/>
                <w:b/>
                <w:bCs/>
                <w:kern w:val="0"/>
                <w:sz w:val="21"/>
                <w:szCs w:val="21"/>
                <w:vertAlign w:val="baseline"/>
                <w:lang w:val="en-US" w:eastAsia="zh-CN"/>
              </w:rPr>
              <w:t>32之和）</w:t>
            </w:r>
          </w:p>
        </w:tc>
        <w:tc>
          <w:tcPr>
            <w:tcW w:w="1686" w:type="dxa"/>
            <w:shd w:val="clear" w:color="auto" w:fill="D7D7D7" w:themeFill="background1" w:themeFillShade="D8"/>
            <w:vAlign w:val="center"/>
          </w:tcPr>
          <w:p w14:paraId="4E8D84DF">
            <w:pPr>
              <w:keepNext w:val="0"/>
              <w:keepLines w:val="0"/>
              <w:widowControl w:val="0"/>
              <w:suppressLineNumbers w:val="0"/>
              <w:spacing w:after="0" w:line="240" w:lineRule="auto"/>
              <w:ind w:firstLine="0" w:firstLineChars="0"/>
              <w:jc w:val="center"/>
              <w:textAlignment w:val="bottom"/>
              <w:rPr>
                <w:rFonts w:hint="default" w:ascii="Arial" w:hAnsi="Arial" w:eastAsia="宋体" w:cs="Arial"/>
                <w:b/>
                <w:bCs/>
                <w:i w:val="0"/>
                <w:iCs w:val="0"/>
                <w:color w:val="000000"/>
                <w:kern w:val="0"/>
                <w:sz w:val="20"/>
                <w:szCs w:val="20"/>
                <w:u w:val="none"/>
                <w:lang w:val="en-US" w:eastAsia="zh-CN" w:bidi="ar"/>
              </w:rPr>
            </w:pPr>
            <w:r>
              <w:rPr>
                <w:rFonts w:hint="default" w:ascii="Arial" w:hAnsi="Arial" w:eastAsia="宋体" w:cs="Arial"/>
                <w:b/>
                <w:bCs/>
                <w:i w:val="0"/>
                <w:iCs w:val="0"/>
                <w:color w:val="000000"/>
                <w:kern w:val="0"/>
                <w:sz w:val="20"/>
                <w:szCs w:val="20"/>
                <w:u w:val="none"/>
                <w:lang w:val="en-US" w:eastAsia="zh-CN" w:bidi="ar"/>
              </w:rPr>
              <w:t>1324635</w:t>
            </w:r>
          </w:p>
        </w:tc>
        <w:tc>
          <w:tcPr>
            <w:tcW w:w="1563" w:type="dxa"/>
            <w:shd w:val="clear" w:color="auto" w:fill="D7D7D7" w:themeFill="background1" w:themeFillShade="D8"/>
            <w:vAlign w:val="center"/>
          </w:tcPr>
          <w:p w14:paraId="4F54CE65">
            <w:pPr>
              <w:keepNext w:val="0"/>
              <w:keepLines w:val="0"/>
              <w:widowControl w:val="0"/>
              <w:suppressLineNumbers w:val="0"/>
              <w:spacing w:after="0" w:line="240" w:lineRule="auto"/>
              <w:ind w:firstLine="0" w:firstLineChars="0"/>
              <w:jc w:val="center"/>
              <w:textAlignment w:val="bottom"/>
              <w:rPr>
                <w:rFonts w:hint="default" w:ascii="Arial" w:hAnsi="Arial" w:eastAsia="宋体" w:cs="Arial"/>
                <w:b/>
                <w:bCs/>
                <w:i w:val="0"/>
                <w:iCs w:val="0"/>
                <w:color w:val="000000"/>
                <w:kern w:val="0"/>
                <w:sz w:val="20"/>
                <w:szCs w:val="20"/>
                <w:u w:val="none"/>
                <w:lang w:val="en-US" w:eastAsia="zh-CN" w:bidi="ar"/>
              </w:rPr>
            </w:pPr>
            <w:r>
              <w:rPr>
                <w:rFonts w:hint="default" w:ascii="Arial" w:hAnsi="Arial" w:eastAsia="宋体" w:cs="Arial"/>
                <w:b/>
                <w:bCs/>
                <w:i w:val="0"/>
                <w:iCs w:val="0"/>
                <w:color w:val="000000"/>
                <w:kern w:val="0"/>
                <w:sz w:val="20"/>
                <w:szCs w:val="20"/>
                <w:u w:val="none"/>
                <w:lang w:val="en-US" w:eastAsia="zh-CN" w:bidi="ar"/>
              </w:rPr>
              <w:t>1324635</w:t>
            </w:r>
          </w:p>
        </w:tc>
      </w:tr>
      <w:tr w14:paraId="26652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595" w:type="pct"/>
            <w:shd w:val="clear" w:color="auto" w:fill="D7D7D7" w:themeFill="background1" w:themeFillShade="D8"/>
            <w:vAlign w:val="center"/>
          </w:tcPr>
          <w:p w14:paraId="24311E70">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Arial Narrow" w:hAnsi="Arial Narrow" w:eastAsia="楷体" w:cs="Arial Narrow"/>
                <w:b/>
                <w:bCs/>
                <w:kern w:val="0"/>
                <w:sz w:val="21"/>
                <w:szCs w:val="21"/>
                <w:vertAlign w:val="baseline"/>
                <w:lang w:val="en-US" w:eastAsia="zh-CN"/>
              </w:rPr>
            </w:pPr>
            <w:r>
              <w:rPr>
                <w:rFonts w:hint="eastAsia" w:ascii="Arial" w:hAnsi="Arial" w:cs="Arial"/>
                <w:b/>
                <w:bCs/>
                <w:i w:val="0"/>
                <w:iCs w:val="0"/>
                <w:color w:val="000000"/>
                <w:kern w:val="0"/>
                <w:sz w:val="20"/>
                <w:szCs w:val="20"/>
                <w:u w:val="none"/>
                <w:lang w:val="en-US" w:eastAsia="zh-CN" w:bidi="ar"/>
              </w:rPr>
              <w:t>37</w:t>
            </w:r>
          </w:p>
        </w:tc>
        <w:tc>
          <w:tcPr>
            <w:tcW w:w="2497" w:type="pct"/>
            <w:shd w:val="clear" w:color="auto" w:fill="D7D7D7" w:themeFill="background1" w:themeFillShade="D8"/>
            <w:vAlign w:val="center"/>
          </w:tcPr>
          <w:p w14:paraId="297CA1E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textAlignment w:val="auto"/>
              <w:rPr>
                <w:rFonts w:hint="default" w:ascii="Arial Narrow" w:hAnsi="Arial Narrow" w:eastAsia="楷体" w:cs="Arial Narrow"/>
                <w:b/>
                <w:bCs/>
                <w:kern w:val="0"/>
                <w:sz w:val="21"/>
                <w:szCs w:val="21"/>
                <w:vertAlign w:val="baseline"/>
                <w:lang w:val="en-US" w:eastAsia="zh-CN"/>
              </w:rPr>
            </w:pPr>
            <w:r>
              <w:rPr>
                <w:rFonts w:hint="eastAsia" w:ascii="Arial Narrow" w:hAnsi="Arial Narrow" w:eastAsia="楷体" w:cs="Arial Narrow"/>
                <w:b/>
                <w:bCs/>
                <w:kern w:val="0"/>
                <w:sz w:val="21"/>
                <w:szCs w:val="21"/>
                <w:vertAlign w:val="baseline"/>
                <w:lang w:val="en-US" w:eastAsia="zh-CN"/>
              </w:rPr>
              <w:t>合计（27与33之和）</w:t>
            </w:r>
          </w:p>
        </w:tc>
        <w:tc>
          <w:tcPr>
            <w:tcW w:w="1686" w:type="dxa"/>
            <w:shd w:val="clear" w:color="auto" w:fill="D7D7D7" w:themeFill="background1" w:themeFillShade="D8"/>
            <w:vAlign w:val="center"/>
          </w:tcPr>
          <w:p w14:paraId="7BC37198">
            <w:pPr>
              <w:keepNext w:val="0"/>
              <w:keepLines w:val="0"/>
              <w:widowControl w:val="0"/>
              <w:suppressLineNumbers w:val="0"/>
              <w:spacing w:after="0" w:line="240" w:lineRule="auto"/>
              <w:ind w:firstLine="0" w:firstLineChars="0"/>
              <w:jc w:val="center"/>
              <w:textAlignment w:val="bottom"/>
              <w:rPr>
                <w:rFonts w:hint="default" w:ascii="Arial" w:hAnsi="Arial" w:eastAsia="宋体" w:cs="Arial"/>
                <w:b/>
                <w:bCs/>
                <w:i w:val="0"/>
                <w:iCs w:val="0"/>
                <w:color w:val="000000"/>
                <w:kern w:val="0"/>
                <w:sz w:val="20"/>
                <w:szCs w:val="20"/>
                <w:u w:val="none"/>
                <w:lang w:val="en-US" w:eastAsia="zh-CN" w:bidi="ar"/>
              </w:rPr>
            </w:pPr>
            <w:r>
              <w:rPr>
                <w:rFonts w:hint="default" w:ascii="Arial" w:hAnsi="Arial" w:eastAsia="宋体" w:cs="Arial"/>
                <w:b/>
                <w:bCs/>
                <w:i w:val="0"/>
                <w:iCs w:val="0"/>
                <w:color w:val="000000"/>
                <w:kern w:val="0"/>
                <w:sz w:val="20"/>
                <w:szCs w:val="20"/>
                <w:u w:val="none"/>
                <w:lang w:val="en-US" w:eastAsia="zh-CN" w:bidi="ar"/>
              </w:rPr>
              <w:t>4325633</w:t>
            </w:r>
          </w:p>
        </w:tc>
        <w:tc>
          <w:tcPr>
            <w:tcW w:w="1563" w:type="dxa"/>
            <w:shd w:val="clear" w:color="auto" w:fill="D7D7D7" w:themeFill="background1" w:themeFillShade="D8"/>
            <w:vAlign w:val="center"/>
          </w:tcPr>
          <w:p w14:paraId="6CB4AAE3">
            <w:pPr>
              <w:keepNext w:val="0"/>
              <w:keepLines w:val="0"/>
              <w:widowControl w:val="0"/>
              <w:suppressLineNumbers w:val="0"/>
              <w:spacing w:after="0" w:line="240" w:lineRule="auto"/>
              <w:ind w:firstLine="0" w:firstLineChars="0"/>
              <w:jc w:val="center"/>
              <w:textAlignment w:val="bottom"/>
              <w:rPr>
                <w:rFonts w:hint="default" w:ascii="Arial" w:hAnsi="Arial" w:eastAsia="宋体" w:cs="Arial"/>
                <w:b/>
                <w:bCs/>
                <w:i w:val="0"/>
                <w:iCs w:val="0"/>
                <w:color w:val="000000"/>
                <w:kern w:val="0"/>
                <w:sz w:val="20"/>
                <w:szCs w:val="20"/>
                <w:u w:val="none"/>
                <w:lang w:val="en-US" w:eastAsia="zh-CN" w:bidi="ar"/>
              </w:rPr>
            </w:pPr>
            <w:r>
              <w:rPr>
                <w:rFonts w:hint="default" w:ascii="Arial" w:hAnsi="Arial" w:eastAsia="宋体" w:cs="Arial"/>
                <w:b/>
                <w:bCs/>
                <w:i w:val="0"/>
                <w:iCs w:val="0"/>
                <w:color w:val="000000"/>
                <w:kern w:val="0"/>
                <w:sz w:val="20"/>
                <w:szCs w:val="20"/>
                <w:u w:val="none"/>
                <w:lang w:val="en-US" w:eastAsia="zh-CN" w:bidi="ar"/>
              </w:rPr>
              <w:t>4325633</w:t>
            </w:r>
          </w:p>
        </w:tc>
      </w:tr>
    </w:tbl>
    <w:p w14:paraId="338A4946">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right"/>
        <w:textAlignment w:val="auto"/>
        <w:rPr>
          <w:rFonts w:hint="eastAsia" w:ascii="楷体" w:hAnsi="楷体" w:eastAsia="楷体" w:cs="楷体"/>
          <w:b w:val="0"/>
          <w:bCs/>
          <w:kern w:val="0"/>
          <w:sz w:val="21"/>
          <w:szCs w:val="21"/>
          <w:lang w:val="en-US" w:eastAsia="zh-CN"/>
        </w:rPr>
      </w:pPr>
    </w:p>
    <w:p w14:paraId="3AE696B7">
      <w:pPr>
        <w:pageBreakBefore w:val="0"/>
        <w:widowControl w:val="0"/>
        <w:kinsoku/>
        <w:wordWrap/>
        <w:overflowPunct/>
        <w:topLinePunct w:val="0"/>
        <w:bidi w:val="0"/>
        <w:snapToGrid/>
        <w:spacing w:after="0" w:line="360" w:lineRule="auto"/>
        <w:ind w:firstLine="562" w:firstLineChars="200"/>
        <w:jc w:val="both"/>
        <w:rPr>
          <w:rFonts w:hint="default" w:ascii="Times New Roman" w:hAnsi="Times New Roman" w:eastAsia="仿宋_GB2312" w:cs="Times New Roman"/>
          <w:b/>
          <w:bCs w:val="0"/>
          <w:kern w:val="0"/>
          <w:sz w:val="28"/>
          <w:szCs w:val="28"/>
          <w:highlight w:val="none"/>
          <w:lang w:val="en-US" w:eastAsia="zh-CN"/>
        </w:rPr>
      </w:pPr>
      <w:bookmarkStart w:id="824" w:name="_Toc7063"/>
      <w:bookmarkStart w:id="825" w:name="_Toc27994"/>
      <w:bookmarkStart w:id="826" w:name="_Toc23638"/>
      <w:bookmarkStart w:id="827" w:name="_Toc16980"/>
      <w:r>
        <w:rPr>
          <w:rFonts w:hint="eastAsia" w:ascii="Times New Roman" w:hAnsi="Times New Roman" w:eastAsia="仿宋_GB2312" w:cs="Times New Roman"/>
          <w:b/>
          <w:bCs w:val="0"/>
          <w:kern w:val="0"/>
          <w:sz w:val="28"/>
          <w:szCs w:val="28"/>
          <w:highlight w:val="none"/>
          <w:lang w:val="en-US" w:eastAsia="zh-CN"/>
        </w:rPr>
        <w:t>11.1.3.2水肥一体化及作业道路工程费概算</w:t>
      </w:r>
      <w:bookmarkEnd w:id="824"/>
      <w:bookmarkEnd w:id="825"/>
      <w:bookmarkEnd w:id="826"/>
      <w:bookmarkEnd w:id="827"/>
    </w:p>
    <w:p w14:paraId="55B9FDA4">
      <w:pPr>
        <w:pageBreakBefore w:val="0"/>
        <w:widowControl w:val="0"/>
        <w:kinsoku/>
        <w:wordWrap/>
        <w:overflowPunct/>
        <w:topLinePunct w:val="0"/>
        <w:bidi w:val="0"/>
        <w:snapToGrid/>
        <w:spacing w:after="0" w:line="360" w:lineRule="auto"/>
        <w:ind w:firstLine="562" w:firstLineChars="200"/>
        <w:jc w:val="both"/>
        <w:rPr>
          <w:rFonts w:hint="default" w:ascii="Times New Roman" w:hAnsi="Times New Roman" w:eastAsia="仿宋_GB2312" w:cs="Times New Roman"/>
          <w:b/>
          <w:bCs w:val="0"/>
          <w:kern w:val="0"/>
          <w:sz w:val="28"/>
          <w:szCs w:val="28"/>
          <w:highlight w:val="none"/>
          <w:lang w:val="en-US" w:eastAsia="zh-CN"/>
        </w:rPr>
      </w:pPr>
      <w:r>
        <w:rPr>
          <w:rFonts w:hint="eastAsia" w:ascii="Times New Roman" w:hAnsi="Times New Roman" w:eastAsia="仿宋_GB2312" w:cs="Times New Roman"/>
          <w:b/>
          <w:bCs w:val="0"/>
          <w:kern w:val="0"/>
          <w:sz w:val="28"/>
          <w:szCs w:val="28"/>
          <w:highlight w:val="none"/>
          <w:lang w:val="en-US" w:eastAsia="zh-CN"/>
        </w:rPr>
        <w:t>（1）工程量清单</w:t>
      </w:r>
    </w:p>
    <w:p w14:paraId="3C971C0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highlight w:val="none"/>
          <w:lang w:val="en-US" w:eastAsia="zh-CN"/>
        </w:rPr>
      </w:pPr>
      <w:r>
        <w:rPr>
          <w:rFonts w:hint="eastAsia" w:ascii="Times New Roman" w:hAnsi="Times New Roman" w:eastAsia="仿宋_GB2312" w:cs="Times New Roman"/>
          <w:bCs/>
          <w:kern w:val="0"/>
          <w:sz w:val="28"/>
          <w:szCs w:val="28"/>
          <w:highlight w:val="none"/>
          <w:lang w:val="en-US" w:eastAsia="zh-CN"/>
        </w:rPr>
        <w:t>项目水肥一体化设计灌溉面积774.9亩，修建路面1米宽作业道路3381米，3米宽（含路肩）土路550米，详见下表。</w:t>
      </w:r>
    </w:p>
    <w:p w14:paraId="5383DBAB">
      <w:pPr>
        <w:pStyle w:val="9"/>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楷体" w:hAnsi="楷体" w:eastAsia="楷体" w:cs="楷体"/>
          <w:b/>
          <w:bCs w:val="0"/>
          <w:kern w:val="0"/>
          <w:sz w:val="24"/>
          <w:szCs w:val="24"/>
          <w:lang w:val="en-US" w:eastAsia="zh-CN"/>
        </w:rPr>
      </w:pPr>
      <w:r>
        <w:rPr>
          <w:rFonts w:hint="eastAsia" w:ascii="楷体" w:hAnsi="楷体" w:eastAsia="楷体" w:cs="楷体"/>
          <w:b/>
          <w:bCs w:val="0"/>
          <w:kern w:val="0"/>
          <w:sz w:val="24"/>
          <w:szCs w:val="24"/>
          <w:lang w:val="en-US" w:eastAsia="zh-CN"/>
        </w:rPr>
        <w:t>表11-9 水肥一体化及作业道路工程量汇总表</w:t>
      </w:r>
    </w:p>
    <w:tbl>
      <w:tblPr>
        <w:tblStyle w:val="20"/>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68"/>
        <w:gridCol w:w="1965"/>
        <w:gridCol w:w="2336"/>
        <w:gridCol w:w="1066"/>
        <w:gridCol w:w="1066"/>
        <w:gridCol w:w="1216"/>
      </w:tblGrid>
      <w:tr w14:paraId="509D2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blHeader/>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D8A4D9E">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95"/>
                <w:sz w:val="21"/>
                <w:szCs w:val="21"/>
                <w:u w:val="none"/>
              </w:rPr>
            </w:pPr>
            <w:r>
              <w:rPr>
                <w:rFonts w:hint="default" w:ascii="Arial Narrow" w:hAnsi="Arial Narrow" w:eastAsia="楷体" w:cs="Arial Narrow"/>
                <w:b/>
                <w:bCs/>
                <w:i w:val="0"/>
                <w:iCs w:val="0"/>
                <w:color w:val="000000"/>
                <w:w w:val="95"/>
                <w:kern w:val="0"/>
                <w:sz w:val="21"/>
                <w:szCs w:val="21"/>
                <w:u w:val="none"/>
                <w:lang w:val="en-US" w:eastAsia="zh-CN" w:bidi="ar"/>
              </w:rPr>
              <w:t>序号</w:t>
            </w:r>
          </w:p>
        </w:tc>
        <w:tc>
          <w:tcPr>
            <w:tcW w:w="116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15B2AB8">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95"/>
                <w:sz w:val="21"/>
                <w:szCs w:val="21"/>
                <w:u w:val="none"/>
              </w:rPr>
            </w:pPr>
            <w:r>
              <w:rPr>
                <w:rFonts w:hint="default" w:ascii="Arial Narrow" w:hAnsi="Arial Narrow" w:eastAsia="楷体" w:cs="Arial Narrow"/>
                <w:b/>
                <w:bCs/>
                <w:i w:val="0"/>
                <w:iCs w:val="0"/>
                <w:color w:val="000000"/>
                <w:w w:val="95"/>
                <w:kern w:val="0"/>
                <w:sz w:val="21"/>
                <w:szCs w:val="21"/>
                <w:u w:val="none"/>
                <w:lang w:val="en-US" w:eastAsia="zh-CN" w:bidi="ar"/>
              </w:rPr>
              <w:t>名称</w:t>
            </w:r>
          </w:p>
        </w:tc>
        <w:tc>
          <w:tcPr>
            <w:tcW w:w="1387"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4C89113">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95"/>
                <w:sz w:val="21"/>
                <w:szCs w:val="21"/>
                <w:u w:val="none"/>
              </w:rPr>
            </w:pPr>
            <w:r>
              <w:rPr>
                <w:rFonts w:hint="default" w:ascii="Arial Narrow" w:hAnsi="Arial Narrow" w:eastAsia="楷体" w:cs="Arial Narrow"/>
                <w:b/>
                <w:bCs/>
                <w:i w:val="0"/>
                <w:iCs w:val="0"/>
                <w:color w:val="000000"/>
                <w:w w:val="95"/>
                <w:kern w:val="0"/>
                <w:sz w:val="21"/>
                <w:szCs w:val="21"/>
                <w:u w:val="none"/>
                <w:lang w:val="en-US" w:eastAsia="zh-CN" w:bidi="ar"/>
              </w:rPr>
              <w:t>规格</w:t>
            </w:r>
          </w:p>
        </w:tc>
        <w:tc>
          <w:tcPr>
            <w:tcW w:w="633"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FC7E7B5">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95"/>
                <w:sz w:val="21"/>
                <w:szCs w:val="21"/>
                <w:u w:val="none"/>
              </w:rPr>
            </w:pPr>
            <w:r>
              <w:rPr>
                <w:rFonts w:hint="default" w:ascii="Arial Narrow" w:hAnsi="Arial Narrow" w:eastAsia="楷体" w:cs="Arial Narrow"/>
                <w:b/>
                <w:bCs/>
                <w:i w:val="0"/>
                <w:iCs w:val="0"/>
                <w:color w:val="000000"/>
                <w:w w:val="95"/>
                <w:kern w:val="0"/>
                <w:sz w:val="21"/>
                <w:szCs w:val="21"/>
                <w:u w:val="none"/>
                <w:lang w:val="en-US" w:eastAsia="zh-CN" w:bidi="ar"/>
              </w:rPr>
              <w:t>材料</w:t>
            </w:r>
          </w:p>
        </w:tc>
        <w:tc>
          <w:tcPr>
            <w:tcW w:w="633"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D699DA5">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95"/>
                <w:sz w:val="21"/>
                <w:szCs w:val="21"/>
                <w:u w:val="none"/>
              </w:rPr>
            </w:pPr>
            <w:r>
              <w:rPr>
                <w:rFonts w:hint="default" w:ascii="Arial Narrow" w:hAnsi="Arial Narrow" w:eastAsia="楷体" w:cs="Arial Narrow"/>
                <w:b/>
                <w:bCs/>
                <w:i w:val="0"/>
                <w:iCs w:val="0"/>
                <w:color w:val="000000"/>
                <w:w w:val="95"/>
                <w:kern w:val="0"/>
                <w:sz w:val="21"/>
                <w:szCs w:val="21"/>
                <w:u w:val="none"/>
                <w:lang w:val="en-US" w:eastAsia="zh-CN" w:bidi="ar"/>
              </w:rPr>
              <w:t>单位</w:t>
            </w:r>
          </w:p>
        </w:tc>
        <w:tc>
          <w:tcPr>
            <w:tcW w:w="722"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40A31C9">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95"/>
                <w:sz w:val="21"/>
                <w:szCs w:val="21"/>
                <w:u w:val="none"/>
              </w:rPr>
            </w:pPr>
            <w:r>
              <w:rPr>
                <w:rFonts w:hint="eastAsia" w:ascii="Arial Narrow" w:hAnsi="Arial Narrow" w:eastAsia="楷体" w:cs="Arial Narrow"/>
                <w:b/>
                <w:bCs/>
                <w:i w:val="0"/>
                <w:iCs w:val="0"/>
                <w:color w:val="000000"/>
                <w:w w:val="95"/>
                <w:kern w:val="0"/>
                <w:sz w:val="21"/>
                <w:szCs w:val="21"/>
                <w:u w:val="none"/>
                <w:lang w:val="en-US" w:eastAsia="zh-CN" w:bidi="ar"/>
              </w:rPr>
              <w:t>数量</w:t>
            </w:r>
          </w:p>
        </w:tc>
      </w:tr>
      <w:tr w14:paraId="7C24D5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1623" w:type="pct"/>
            <w:gridSpan w:val="2"/>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BC825BE">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95"/>
                <w:sz w:val="21"/>
                <w:szCs w:val="21"/>
                <w:u w:val="none"/>
              </w:rPr>
            </w:pPr>
            <w:r>
              <w:rPr>
                <w:rFonts w:hint="default" w:ascii="Arial Narrow" w:hAnsi="Arial Narrow" w:eastAsia="楷体" w:cs="Arial Narrow"/>
                <w:b/>
                <w:bCs/>
                <w:i w:val="0"/>
                <w:iCs w:val="0"/>
                <w:color w:val="000000"/>
                <w:w w:val="95"/>
                <w:kern w:val="0"/>
                <w:sz w:val="21"/>
                <w:szCs w:val="21"/>
                <w:u w:val="none"/>
                <w:lang w:val="en-US" w:eastAsia="zh-CN" w:bidi="ar"/>
              </w:rPr>
              <w:t>水肥一体化工程</w:t>
            </w:r>
          </w:p>
        </w:tc>
        <w:tc>
          <w:tcPr>
            <w:tcW w:w="1387"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8731E2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rPr>
                <w:rFonts w:hint="default" w:ascii="Arial Narrow" w:hAnsi="Arial Narrow" w:eastAsia="楷体" w:cs="Arial Narrow"/>
                <w:b/>
                <w:bCs/>
                <w:i w:val="0"/>
                <w:iCs w:val="0"/>
                <w:color w:val="000000"/>
                <w:w w:val="95"/>
                <w:sz w:val="21"/>
                <w:szCs w:val="21"/>
                <w:u w:val="none"/>
              </w:rPr>
            </w:pPr>
          </w:p>
        </w:tc>
        <w:tc>
          <w:tcPr>
            <w:tcW w:w="633"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44EFDAF">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rPr>
                <w:rFonts w:hint="default" w:ascii="Arial Narrow" w:hAnsi="Arial Narrow" w:eastAsia="楷体" w:cs="Arial Narrow"/>
                <w:b/>
                <w:bCs/>
                <w:i w:val="0"/>
                <w:iCs w:val="0"/>
                <w:color w:val="000000"/>
                <w:w w:val="95"/>
                <w:sz w:val="21"/>
                <w:szCs w:val="21"/>
                <w:u w:val="none"/>
              </w:rPr>
            </w:pPr>
          </w:p>
        </w:tc>
        <w:tc>
          <w:tcPr>
            <w:tcW w:w="633"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A4C6745">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rPr>
                <w:rFonts w:hint="default" w:ascii="Arial Narrow" w:hAnsi="Arial Narrow" w:eastAsia="楷体" w:cs="Arial Narrow"/>
                <w:b/>
                <w:bCs/>
                <w:i w:val="0"/>
                <w:iCs w:val="0"/>
                <w:color w:val="000000"/>
                <w:w w:val="95"/>
                <w:sz w:val="21"/>
                <w:szCs w:val="21"/>
                <w:u w:val="none"/>
              </w:rPr>
            </w:pPr>
          </w:p>
        </w:tc>
        <w:tc>
          <w:tcPr>
            <w:tcW w:w="722"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CA55C72">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rPr>
                <w:rFonts w:hint="default" w:ascii="Arial Narrow" w:hAnsi="Arial Narrow" w:eastAsia="楷体" w:cs="Arial Narrow"/>
                <w:b/>
                <w:bCs/>
                <w:i w:val="0"/>
                <w:iCs w:val="0"/>
                <w:color w:val="000000"/>
                <w:w w:val="95"/>
                <w:sz w:val="21"/>
                <w:szCs w:val="21"/>
                <w:u w:val="none"/>
              </w:rPr>
            </w:pPr>
          </w:p>
        </w:tc>
      </w:tr>
      <w:tr w14:paraId="48625D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3EDE36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7B2472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PE实壁管</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B121E0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De110 1.0MPa</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3F9015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PE100</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07E0B8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米</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D3EB28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400</w:t>
            </w:r>
          </w:p>
        </w:tc>
      </w:tr>
      <w:tr w14:paraId="190699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ADD755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D79AED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PE实壁管</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90A681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De90 1.0MPa</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7932FC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PE100</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ACAA6C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米</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D67104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1622</w:t>
            </w:r>
          </w:p>
        </w:tc>
      </w:tr>
      <w:tr w14:paraId="231E95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02AFC6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5A44BF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PE实壁管</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A7021F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De63 1.0MPa</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D25820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PE100</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5C1E23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米</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3517A0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5200</w:t>
            </w:r>
          </w:p>
        </w:tc>
      </w:tr>
      <w:tr w14:paraId="677692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9B5DD7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4</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BDD926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PE实壁管</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64C066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De50 1.0MPa</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2289A5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PE100</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5316AD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米</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D6B3E2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1419</w:t>
            </w:r>
          </w:p>
        </w:tc>
      </w:tr>
      <w:tr w14:paraId="352070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2C5C34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5</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305425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LDPE管(含管件)</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6BABF9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De16 0.6MPa</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087B03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PE1610</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11204E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米</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6DBB5D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121680</w:t>
            </w:r>
          </w:p>
        </w:tc>
      </w:tr>
      <w:tr w14:paraId="20212F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276F42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6</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30B979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压力补偿滴头</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1C317B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De16 4.0L/H</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5863B16">
            <w:pPr>
              <w:widowControl w:val="0"/>
              <w:jc w:val="center"/>
              <w:textAlignment w:val="center"/>
              <w:rPr>
                <w:rFonts w:hint="eastAsia" w:ascii="楷体" w:hAnsi="楷体" w:eastAsia="楷体" w:cs="楷体"/>
                <w:i w:val="0"/>
                <w:iCs w:val="0"/>
                <w:color w:val="000000"/>
                <w:w w:val="100"/>
                <w:kern w:val="0"/>
                <w:sz w:val="20"/>
                <w:szCs w:val="20"/>
                <w:u w:val="none"/>
                <w:lang w:val="en-US" w:eastAsia="zh-CN" w:bidi="ar"/>
              </w:rPr>
            </w:pP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160C8E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D55EFA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75712</w:t>
            </w:r>
          </w:p>
        </w:tc>
      </w:tr>
      <w:tr w14:paraId="00D56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1CB688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7</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2F9B00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双壁波纹管</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4E1392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D300 SN8</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8A15DE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HDPE</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087BA0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米</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D9C4C3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25</w:t>
            </w:r>
          </w:p>
        </w:tc>
      </w:tr>
      <w:tr w14:paraId="56D019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459A0F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8</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8B6512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弹性座封闸阀</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F6A821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DN50 Z45T-16型</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CEBDFD8">
            <w:pPr>
              <w:widowControl w:val="0"/>
              <w:jc w:val="center"/>
              <w:textAlignment w:val="center"/>
              <w:rPr>
                <w:rFonts w:hint="eastAsia" w:ascii="楷体" w:hAnsi="楷体" w:eastAsia="楷体" w:cs="楷体"/>
                <w:i w:val="0"/>
                <w:iCs w:val="0"/>
                <w:color w:val="000000"/>
                <w:w w:val="100"/>
                <w:kern w:val="0"/>
                <w:sz w:val="20"/>
                <w:szCs w:val="20"/>
                <w:u w:val="none"/>
                <w:lang w:val="en-US" w:eastAsia="zh-CN" w:bidi="ar"/>
              </w:rPr>
            </w:pP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F57E1E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C4D1DD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6</w:t>
            </w:r>
          </w:p>
        </w:tc>
      </w:tr>
      <w:tr w14:paraId="3A67BB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C31504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9</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E93252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弹性座封闸阀</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39B407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DN100 Z45T-16型</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AA5A9CD">
            <w:pPr>
              <w:widowControl w:val="0"/>
              <w:jc w:val="center"/>
              <w:textAlignment w:val="center"/>
              <w:rPr>
                <w:rFonts w:hint="eastAsia" w:ascii="楷体" w:hAnsi="楷体" w:eastAsia="楷体" w:cs="楷体"/>
                <w:i w:val="0"/>
                <w:iCs w:val="0"/>
                <w:color w:val="000000"/>
                <w:w w:val="100"/>
                <w:kern w:val="0"/>
                <w:sz w:val="20"/>
                <w:szCs w:val="20"/>
                <w:u w:val="none"/>
                <w:lang w:val="en-US" w:eastAsia="zh-CN" w:bidi="ar"/>
              </w:rPr>
            </w:pP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9771F5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14641F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w:t>
            </w:r>
          </w:p>
        </w:tc>
      </w:tr>
      <w:tr w14:paraId="09D2B6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8B306F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10</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61B92B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电磁阀</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4E4F1F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DN50</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CA5D9BB">
            <w:pPr>
              <w:widowControl w:val="0"/>
              <w:jc w:val="center"/>
              <w:textAlignment w:val="center"/>
              <w:rPr>
                <w:rFonts w:hint="eastAsia" w:ascii="楷体" w:hAnsi="楷体" w:eastAsia="楷体" w:cs="楷体"/>
                <w:i w:val="0"/>
                <w:iCs w:val="0"/>
                <w:color w:val="000000"/>
                <w:w w:val="100"/>
                <w:kern w:val="0"/>
                <w:sz w:val="20"/>
                <w:szCs w:val="20"/>
                <w:u w:val="none"/>
                <w:lang w:val="en-US" w:eastAsia="zh-CN" w:bidi="ar"/>
              </w:rPr>
            </w:pP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8CE2E5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B65FB1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14</w:t>
            </w:r>
          </w:p>
        </w:tc>
      </w:tr>
      <w:tr w14:paraId="36BFE9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78C49E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FDE317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减压阀</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308770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DN50 1.6MPa</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C9ED409">
            <w:pPr>
              <w:widowControl w:val="0"/>
              <w:jc w:val="center"/>
              <w:textAlignment w:val="center"/>
              <w:rPr>
                <w:rFonts w:hint="eastAsia" w:ascii="楷体" w:hAnsi="楷体" w:eastAsia="楷体" w:cs="楷体"/>
                <w:i w:val="0"/>
                <w:iCs w:val="0"/>
                <w:color w:val="000000"/>
                <w:w w:val="100"/>
                <w:kern w:val="0"/>
                <w:sz w:val="20"/>
                <w:szCs w:val="20"/>
                <w:u w:val="none"/>
                <w:lang w:val="en-US" w:eastAsia="zh-CN" w:bidi="ar"/>
              </w:rPr>
            </w:pP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075A12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47C13B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19</w:t>
            </w:r>
          </w:p>
        </w:tc>
      </w:tr>
      <w:tr w14:paraId="3E7D98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3FC190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12</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D56DEA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减压阀</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D21CBC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DN40 1.6MPa</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6BF20E5">
            <w:pPr>
              <w:widowControl w:val="0"/>
              <w:jc w:val="center"/>
              <w:textAlignment w:val="center"/>
              <w:rPr>
                <w:rFonts w:hint="eastAsia" w:ascii="楷体" w:hAnsi="楷体" w:eastAsia="楷体" w:cs="楷体"/>
                <w:i w:val="0"/>
                <w:iCs w:val="0"/>
                <w:color w:val="000000"/>
                <w:w w:val="100"/>
                <w:kern w:val="0"/>
                <w:sz w:val="20"/>
                <w:szCs w:val="20"/>
                <w:u w:val="none"/>
                <w:lang w:val="en-US" w:eastAsia="zh-CN" w:bidi="ar"/>
              </w:rPr>
            </w:pP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779F9A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02785E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w:t>
            </w:r>
          </w:p>
        </w:tc>
      </w:tr>
      <w:tr w14:paraId="235C14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6777C4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13</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86CC45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PF实壁管</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AB07D0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De20 1.0MPa</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BE8441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PE100</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F32C60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米</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67D8C8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29</w:t>
            </w:r>
          </w:p>
        </w:tc>
      </w:tr>
      <w:tr w14:paraId="479F94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98249F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14</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74BDCD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球阀</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5C0D47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De50 1.0MPa</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9C5DC22">
            <w:pPr>
              <w:widowControl w:val="0"/>
              <w:jc w:val="center"/>
              <w:textAlignment w:val="center"/>
              <w:rPr>
                <w:rFonts w:hint="eastAsia" w:ascii="楷体" w:hAnsi="楷体" w:eastAsia="楷体" w:cs="楷体"/>
                <w:i w:val="0"/>
                <w:iCs w:val="0"/>
                <w:color w:val="000000"/>
                <w:w w:val="100"/>
                <w:kern w:val="0"/>
                <w:sz w:val="20"/>
                <w:szCs w:val="20"/>
                <w:u w:val="none"/>
                <w:lang w:val="en-US" w:eastAsia="zh-CN" w:bidi="ar"/>
              </w:rPr>
            </w:pP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AACEF2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3FCD39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w:t>
            </w:r>
          </w:p>
        </w:tc>
      </w:tr>
      <w:tr w14:paraId="557C47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8A2C82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15</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0D22B3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球阀</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BEAEF8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De20 1.0MPa</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A596D81">
            <w:pPr>
              <w:widowControl w:val="0"/>
              <w:jc w:val="center"/>
              <w:textAlignment w:val="center"/>
              <w:rPr>
                <w:rFonts w:hint="eastAsia" w:ascii="楷体" w:hAnsi="楷体" w:eastAsia="楷体" w:cs="楷体"/>
                <w:i w:val="0"/>
                <w:iCs w:val="0"/>
                <w:color w:val="000000"/>
                <w:w w:val="100"/>
                <w:kern w:val="0"/>
                <w:sz w:val="20"/>
                <w:szCs w:val="20"/>
                <w:u w:val="none"/>
                <w:lang w:val="en-US" w:eastAsia="zh-CN" w:bidi="ar"/>
              </w:rPr>
            </w:pP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824D32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429BFD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29</w:t>
            </w:r>
          </w:p>
        </w:tc>
      </w:tr>
      <w:tr w14:paraId="3E6668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9867A0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16</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AA3F8C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排气阀</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A10628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De20 1.0MPa</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CD1E1F1">
            <w:pPr>
              <w:widowControl w:val="0"/>
              <w:jc w:val="center"/>
              <w:textAlignment w:val="center"/>
              <w:rPr>
                <w:rFonts w:hint="eastAsia" w:ascii="楷体" w:hAnsi="楷体" w:eastAsia="楷体" w:cs="楷体"/>
                <w:i w:val="0"/>
                <w:iCs w:val="0"/>
                <w:color w:val="000000"/>
                <w:w w:val="100"/>
                <w:kern w:val="0"/>
                <w:sz w:val="20"/>
                <w:szCs w:val="20"/>
                <w:u w:val="none"/>
                <w:lang w:val="en-US" w:eastAsia="zh-CN" w:bidi="ar"/>
              </w:rPr>
            </w:pP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3ED7E1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957079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w:t>
            </w:r>
          </w:p>
        </w:tc>
      </w:tr>
      <w:tr w14:paraId="33216F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85A629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17</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F741CB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排泥阀</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081A83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De50 1.0MPa</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B6B359C">
            <w:pPr>
              <w:widowControl w:val="0"/>
              <w:jc w:val="center"/>
              <w:textAlignment w:val="center"/>
              <w:rPr>
                <w:rFonts w:hint="eastAsia" w:ascii="楷体" w:hAnsi="楷体" w:eastAsia="楷体" w:cs="楷体"/>
                <w:i w:val="0"/>
                <w:iCs w:val="0"/>
                <w:color w:val="000000"/>
                <w:w w:val="100"/>
                <w:kern w:val="0"/>
                <w:sz w:val="20"/>
                <w:szCs w:val="20"/>
                <w:u w:val="none"/>
                <w:lang w:val="en-US" w:eastAsia="zh-CN" w:bidi="ar"/>
              </w:rPr>
            </w:pP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ABD1D3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CEDE70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w:t>
            </w:r>
          </w:p>
        </w:tc>
      </w:tr>
      <w:tr w14:paraId="07A68C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7F06C9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18</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4D9B6C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三通</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B37850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De50×50</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CDFC47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A626C8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17A8AA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10</w:t>
            </w:r>
          </w:p>
        </w:tc>
      </w:tr>
      <w:tr w14:paraId="5E4EAC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6B6F9D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19</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8B3261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三通</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332FA2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De50×20</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F959CF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F65172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7F0564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29</w:t>
            </w:r>
          </w:p>
        </w:tc>
      </w:tr>
      <w:tr w14:paraId="4CF7A5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434D5C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20</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010777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30°弯管</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B4817A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De50</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EC8F8E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9F1F15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9C60A7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30</w:t>
            </w:r>
          </w:p>
        </w:tc>
      </w:tr>
      <w:tr w14:paraId="2AB9C9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0C76CA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212665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45°变管</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AB8000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De50</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D02CED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F53E92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924674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30</w:t>
            </w:r>
          </w:p>
        </w:tc>
      </w:tr>
      <w:tr w14:paraId="533158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29AE71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22</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725E2E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90°弯管</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916AA8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De50</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FE5600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2D1FB8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0271C2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30</w:t>
            </w:r>
          </w:p>
        </w:tc>
      </w:tr>
      <w:tr w14:paraId="516A3C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145494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23</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677782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阀门井</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33E6C8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500X500</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7019DB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砖砌</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5E14EF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座</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F8CC61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15</w:t>
            </w:r>
          </w:p>
        </w:tc>
      </w:tr>
      <w:tr w14:paraId="2006CC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D3144F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24</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7EDFBA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三通</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68F084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DN100×100</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007A55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388D0F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D43040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24</w:t>
            </w:r>
          </w:p>
        </w:tc>
      </w:tr>
      <w:tr w14:paraId="4CF9E0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F079D8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25</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28875F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三通</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D1D649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DN100×50</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C5B4E4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6F3263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8A8E27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24</w:t>
            </w:r>
          </w:p>
        </w:tc>
      </w:tr>
      <w:tr w14:paraId="153CB0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6BDC71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26</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24B061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30°弯管</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CE5513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DN100</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9904B8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ECAE31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D4BB23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24</w:t>
            </w:r>
          </w:p>
        </w:tc>
      </w:tr>
      <w:tr w14:paraId="069309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E0D238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27</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51FB77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45°弯管</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95F160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DN100</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F83403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D1C69D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7242E5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24</w:t>
            </w:r>
          </w:p>
        </w:tc>
      </w:tr>
      <w:tr w14:paraId="514008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D25AAA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28</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D11477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90°弯管</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6A3F98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DN100</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7B94E3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CB0CD5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B2462D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24</w:t>
            </w:r>
          </w:p>
        </w:tc>
      </w:tr>
      <w:tr w14:paraId="01ADFD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89B972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29</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A13282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管道包方</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5816993">
            <w:pPr>
              <w:widowControl w:val="0"/>
              <w:jc w:val="center"/>
              <w:textAlignment w:val="center"/>
              <w:rPr>
                <w:rFonts w:hint="eastAsia" w:ascii="楷体" w:hAnsi="楷体" w:eastAsia="楷体" w:cs="楷体"/>
                <w:i w:val="0"/>
                <w:iCs w:val="0"/>
                <w:color w:val="000000"/>
                <w:w w:val="100"/>
                <w:kern w:val="0"/>
                <w:sz w:val="20"/>
                <w:szCs w:val="20"/>
                <w:u w:val="none"/>
                <w:lang w:val="en-US" w:eastAsia="zh-CN" w:bidi="ar"/>
              </w:rPr>
            </w:pP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3185D0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砼</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1E24DD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米</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3AE28A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177</w:t>
            </w:r>
          </w:p>
        </w:tc>
      </w:tr>
      <w:tr w14:paraId="765B93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743400D">
            <w:pPr>
              <w:keepNext w:val="0"/>
              <w:keepLines w:val="0"/>
              <w:widowControl w:val="0"/>
              <w:suppressLineNumbers w:val="0"/>
              <w:spacing w:after="0" w:line="240" w:lineRule="auto"/>
              <w:ind w:firstLine="0" w:firstLineChars="0"/>
              <w:jc w:val="center"/>
              <w:textAlignment w:val="center"/>
              <w:rPr>
                <w:rFonts w:hint="default"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30</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5D8102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10吨PE桶</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ED61AC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10吨</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C37A4A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229325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座</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6AA1DC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w:t>
            </w:r>
          </w:p>
        </w:tc>
      </w:tr>
      <w:tr w14:paraId="0206EC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529BB35">
            <w:pPr>
              <w:keepNext w:val="0"/>
              <w:keepLines w:val="0"/>
              <w:widowControl w:val="0"/>
              <w:suppressLineNumbers w:val="0"/>
              <w:spacing w:after="0" w:line="240" w:lineRule="auto"/>
              <w:ind w:firstLine="0" w:firstLineChars="0"/>
              <w:jc w:val="center"/>
              <w:textAlignment w:val="center"/>
              <w:rPr>
                <w:rFonts w:hint="default"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4AA51B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钢筋砼提升井</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FC5B8F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φ1500</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B7B570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钢筋砼</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401BB9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座</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247BC58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w:t>
            </w:r>
          </w:p>
        </w:tc>
      </w:tr>
      <w:tr w14:paraId="6B201A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1D7E1FA">
            <w:pPr>
              <w:keepNext w:val="0"/>
              <w:keepLines w:val="0"/>
              <w:widowControl w:val="0"/>
              <w:suppressLineNumbers w:val="0"/>
              <w:spacing w:after="0" w:line="240" w:lineRule="auto"/>
              <w:ind w:firstLine="0" w:firstLineChars="0"/>
              <w:jc w:val="center"/>
              <w:textAlignment w:val="center"/>
              <w:rPr>
                <w:rFonts w:hint="default"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32</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378280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水肥机房</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DAD857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4.5m*8m</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95CF5F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板房</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06DDCF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座</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161D71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w:t>
            </w:r>
          </w:p>
        </w:tc>
      </w:tr>
      <w:tr w14:paraId="4013A7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630621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33</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05C189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水肥设备系统</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61E01F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30吨/小时</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830DA9A">
            <w:pPr>
              <w:widowControl w:val="0"/>
              <w:jc w:val="center"/>
              <w:textAlignment w:val="center"/>
              <w:rPr>
                <w:rFonts w:hint="eastAsia" w:ascii="楷体" w:hAnsi="楷体" w:eastAsia="楷体" w:cs="楷体"/>
                <w:i w:val="0"/>
                <w:iCs w:val="0"/>
                <w:color w:val="000000"/>
                <w:w w:val="100"/>
                <w:kern w:val="0"/>
                <w:sz w:val="20"/>
                <w:szCs w:val="20"/>
                <w:u w:val="none"/>
                <w:lang w:val="en-US" w:eastAsia="zh-CN" w:bidi="ar"/>
              </w:rPr>
            </w:pP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C122E8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套</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9D6CBE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w:t>
            </w:r>
          </w:p>
        </w:tc>
      </w:tr>
      <w:tr w14:paraId="7BA17E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2EDA20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34</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bottom"/>
          </w:tcPr>
          <w:p w14:paraId="597B430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混凝土支墩</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bottom"/>
          </w:tcPr>
          <w:p w14:paraId="7833EEF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0.35m³</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bottom"/>
          </w:tcPr>
          <w:p w14:paraId="205D9616">
            <w:pPr>
              <w:widowControl w:val="0"/>
              <w:jc w:val="center"/>
              <w:textAlignment w:val="center"/>
              <w:rPr>
                <w:rFonts w:hint="eastAsia" w:ascii="楷体" w:hAnsi="楷体" w:eastAsia="楷体" w:cs="楷体"/>
                <w:i w:val="0"/>
                <w:iCs w:val="0"/>
                <w:color w:val="000000"/>
                <w:w w:val="100"/>
                <w:kern w:val="0"/>
                <w:sz w:val="20"/>
                <w:szCs w:val="20"/>
                <w:u w:val="none"/>
                <w:lang w:val="en-US" w:eastAsia="zh-CN" w:bidi="ar"/>
              </w:rPr>
            </w:pP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bottom"/>
          </w:tcPr>
          <w:p w14:paraId="712FCBE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立方米</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bottom"/>
          </w:tcPr>
          <w:p w14:paraId="35FA17A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71</w:t>
            </w:r>
          </w:p>
        </w:tc>
      </w:tr>
      <w:tr w14:paraId="58F9BC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EFF759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35</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bottom"/>
          </w:tcPr>
          <w:p w14:paraId="3AC763E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蓄水桶</w:t>
            </w:r>
          </w:p>
        </w:tc>
        <w:tc>
          <w:tcPr>
            <w:tcW w:w="233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bottom"/>
          </w:tcPr>
          <w:p w14:paraId="61C1910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32m³</w:t>
            </w: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bottom"/>
          </w:tcPr>
          <w:p w14:paraId="24EA2A27">
            <w:pPr>
              <w:widowControl w:val="0"/>
              <w:jc w:val="center"/>
              <w:textAlignment w:val="center"/>
              <w:rPr>
                <w:rFonts w:hint="eastAsia" w:ascii="楷体" w:hAnsi="楷体" w:eastAsia="楷体" w:cs="楷体"/>
                <w:i w:val="0"/>
                <w:iCs w:val="0"/>
                <w:color w:val="000000"/>
                <w:w w:val="100"/>
                <w:kern w:val="0"/>
                <w:sz w:val="20"/>
                <w:szCs w:val="20"/>
                <w:u w:val="none"/>
                <w:lang w:val="en-US" w:eastAsia="zh-CN" w:bidi="ar"/>
              </w:rPr>
            </w:pPr>
          </w:p>
        </w:tc>
        <w:tc>
          <w:tcPr>
            <w:tcW w:w="106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D44213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座</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bottom"/>
          </w:tcPr>
          <w:p w14:paraId="3855763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w:t>
            </w:r>
          </w:p>
        </w:tc>
      </w:tr>
      <w:tr w14:paraId="79445A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9" w:hRule="exact"/>
        </w:trPr>
        <w:tc>
          <w:tcPr>
            <w:tcW w:w="1623" w:type="pct"/>
            <w:gridSpan w:val="2"/>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CADEA2C">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95"/>
                <w:sz w:val="21"/>
                <w:szCs w:val="21"/>
                <w:u w:val="none"/>
              </w:rPr>
            </w:pPr>
            <w:r>
              <w:rPr>
                <w:rFonts w:hint="default" w:ascii="Arial Narrow" w:hAnsi="Arial Narrow" w:eastAsia="楷体" w:cs="Arial Narrow"/>
                <w:b/>
                <w:bCs/>
                <w:i w:val="0"/>
                <w:iCs w:val="0"/>
                <w:color w:val="000000"/>
                <w:w w:val="95"/>
                <w:kern w:val="0"/>
                <w:sz w:val="21"/>
                <w:szCs w:val="21"/>
                <w:u w:val="none"/>
                <w:lang w:val="en-US" w:eastAsia="zh-CN" w:bidi="ar"/>
              </w:rPr>
              <w:t>作业道路工程</w:t>
            </w:r>
          </w:p>
        </w:tc>
        <w:tc>
          <w:tcPr>
            <w:tcW w:w="1387"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4779008">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rPr>
                <w:rFonts w:hint="default" w:ascii="Arial Narrow" w:hAnsi="Arial Narrow" w:eastAsia="楷体" w:cs="Arial Narrow"/>
                <w:b/>
                <w:bCs/>
                <w:i w:val="0"/>
                <w:iCs w:val="0"/>
                <w:color w:val="000000"/>
                <w:w w:val="95"/>
                <w:sz w:val="21"/>
                <w:szCs w:val="21"/>
                <w:u w:val="none"/>
              </w:rPr>
            </w:pPr>
          </w:p>
        </w:tc>
        <w:tc>
          <w:tcPr>
            <w:tcW w:w="633"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82C906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rPr>
                <w:rFonts w:hint="default" w:ascii="Arial Narrow" w:hAnsi="Arial Narrow" w:eastAsia="楷体" w:cs="Arial Narrow"/>
                <w:b/>
                <w:bCs/>
                <w:i w:val="0"/>
                <w:iCs w:val="0"/>
                <w:color w:val="000000"/>
                <w:w w:val="95"/>
                <w:sz w:val="21"/>
                <w:szCs w:val="21"/>
                <w:u w:val="none"/>
              </w:rPr>
            </w:pPr>
          </w:p>
        </w:tc>
        <w:tc>
          <w:tcPr>
            <w:tcW w:w="633"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024859A">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rPr>
                <w:rFonts w:hint="default" w:ascii="Arial Narrow" w:hAnsi="Arial Narrow" w:eastAsia="楷体" w:cs="Arial Narrow"/>
                <w:b/>
                <w:bCs/>
                <w:i w:val="0"/>
                <w:iCs w:val="0"/>
                <w:color w:val="000000"/>
                <w:w w:val="95"/>
                <w:sz w:val="21"/>
                <w:szCs w:val="21"/>
                <w:u w:val="none"/>
              </w:rPr>
            </w:pPr>
          </w:p>
        </w:tc>
        <w:tc>
          <w:tcPr>
            <w:tcW w:w="722"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C4772DE">
            <w:pPr>
              <w:keepNext w:val="0"/>
              <w:keepLines w:val="0"/>
              <w:pageBreakBefore w:val="0"/>
              <w:widowControl w:val="0"/>
              <w:kinsoku/>
              <w:wordWrap/>
              <w:overflowPunct/>
              <w:topLinePunct w:val="0"/>
              <w:autoSpaceDE/>
              <w:autoSpaceDN/>
              <w:bidi w:val="0"/>
              <w:adjustRightInd/>
              <w:snapToGrid/>
              <w:spacing w:after="0" w:line="240" w:lineRule="auto"/>
              <w:ind w:firstLine="0" w:firstLineChars="0"/>
              <w:jc w:val="center"/>
              <w:rPr>
                <w:rFonts w:hint="default" w:ascii="Arial Narrow" w:hAnsi="Arial Narrow" w:eastAsia="楷体" w:cs="Arial Narrow"/>
                <w:b/>
                <w:bCs/>
                <w:i w:val="0"/>
                <w:iCs w:val="0"/>
                <w:color w:val="000000"/>
                <w:w w:val="95"/>
                <w:sz w:val="21"/>
                <w:szCs w:val="21"/>
                <w:u w:val="none"/>
              </w:rPr>
            </w:pPr>
          </w:p>
        </w:tc>
      </w:tr>
      <w:tr w14:paraId="5CFE7D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006C46D9">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i w:val="0"/>
                <w:iCs w:val="0"/>
                <w:color w:val="000000"/>
                <w:w w:val="95"/>
                <w:sz w:val="21"/>
                <w:szCs w:val="21"/>
                <w:u w:val="none"/>
              </w:rPr>
            </w:pPr>
            <w:r>
              <w:rPr>
                <w:rFonts w:hint="default" w:ascii="Arial Narrow" w:hAnsi="Arial Narrow" w:eastAsia="楷体" w:cs="Arial Narrow"/>
                <w:i w:val="0"/>
                <w:iCs w:val="0"/>
                <w:color w:val="000000"/>
                <w:w w:val="95"/>
                <w:kern w:val="0"/>
                <w:sz w:val="21"/>
                <w:szCs w:val="21"/>
                <w:u w:val="none"/>
                <w:lang w:val="en-US" w:eastAsia="zh-CN" w:bidi="ar"/>
              </w:rPr>
              <w:t>1</w:t>
            </w:r>
          </w:p>
        </w:tc>
        <w:tc>
          <w:tcPr>
            <w:tcW w:w="116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94DD73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林区道路</w:t>
            </w:r>
          </w:p>
        </w:tc>
        <w:tc>
          <w:tcPr>
            <w:tcW w:w="1387"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1AF4B087">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宽1m</w:t>
            </w:r>
          </w:p>
        </w:tc>
        <w:tc>
          <w:tcPr>
            <w:tcW w:w="633"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E0AE699">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土路</w:t>
            </w:r>
          </w:p>
        </w:tc>
        <w:tc>
          <w:tcPr>
            <w:tcW w:w="633"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B8AB2D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m</w:t>
            </w:r>
          </w:p>
        </w:tc>
        <w:tc>
          <w:tcPr>
            <w:tcW w:w="722"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516E1C24">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3381</w:t>
            </w:r>
          </w:p>
        </w:tc>
      </w:tr>
      <w:tr w14:paraId="766134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9" w:hRule="exact"/>
        </w:trPr>
        <w:tc>
          <w:tcPr>
            <w:tcW w:w="45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9527AEE">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i w:val="0"/>
                <w:iCs w:val="0"/>
                <w:color w:val="000000"/>
                <w:w w:val="95"/>
                <w:kern w:val="0"/>
                <w:sz w:val="21"/>
                <w:szCs w:val="21"/>
                <w:u w:val="none"/>
                <w:lang w:val="en-US" w:eastAsia="zh-CN" w:bidi="ar"/>
              </w:rPr>
            </w:pPr>
            <w:r>
              <w:rPr>
                <w:rFonts w:hint="default" w:ascii="Arial Narrow" w:hAnsi="Arial Narrow" w:eastAsia="楷体" w:cs="Arial Narrow"/>
                <w:i w:val="0"/>
                <w:iCs w:val="0"/>
                <w:color w:val="000000"/>
                <w:w w:val="95"/>
                <w:kern w:val="0"/>
                <w:sz w:val="21"/>
                <w:szCs w:val="21"/>
                <w:u w:val="none"/>
                <w:lang w:val="en-US" w:eastAsia="zh-CN" w:bidi="ar"/>
              </w:rPr>
              <w:t>2</w:t>
            </w:r>
          </w:p>
        </w:tc>
        <w:tc>
          <w:tcPr>
            <w:tcW w:w="1166"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0C2CC16">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林区道路</w:t>
            </w:r>
          </w:p>
        </w:tc>
        <w:tc>
          <w:tcPr>
            <w:tcW w:w="1387"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3B7A7F58">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宽3m（含路基）</w:t>
            </w:r>
          </w:p>
        </w:tc>
        <w:tc>
          <w:tcPr>
            <w:tcW w:w="633"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40294F77">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土路</w:t>
            </w:r>
          </w:p>
        </w:tc>
        <w:tc>
          <w:tcPr>
            <w:tcW w:w="633"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706A5B47">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m</w:t>
            </w:r>
          </w:p>
        </w:tc>
        <w:tc>
          <w:tcPr>
            <w:tcW w:w="722" w:type="pct"/>
            <w:tcBorders>
              <w:top w:val="single" w:color="000000" w:sz="4" w:space="0"/>
              <w:left w:val="single" w:color="000000" w:sz="4" w:space="0"/>
              <w:bottom w:val="single" w:color="000000" w:sz="4" w:space="0"/>
              <w:right w:val="single" w:color="000000" w:sz="4" w:space="0"/>
            </w:tcBorders>
            <w:shd w:val="clear" w:color="auto" w:fill="auto"/>
            <w:noWrap/>
            <w:tcMar>
              <w:top w:w="0" w:type="dxa"/>
              <w:left w:w="57" w:type="dxa"/>
              <w:bottom w:w="0" w:type="dxa"/>
              <w:right w:w="57" w:type="dxa"/>
            </w:tcMar>
            <w:vAlign w:val="center"/>
          </w:tcPr>
          <w:p w14:paraId="66CD42B9">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550</w:t>
            </w:r>
          </w:p>
        </w:tc>
      </w:tr>
    </w:tbl>
    <w:p w14:paraId="599206EA">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（2）工程费概算</w:t>
      </w:r>
    </w:p>
    <w:p w14:paraId="5FBB357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项目水肥一体化及作业道路</w:t>
      </w:r>
      <w:r>
        <w:rPr>
          <w:rFonts w:hint="default" w:ascii="Times New Roman" w:hAnsi="Times New Roman" w:eastAsia="仿宋_GB2312" w:cs="Times New Roman"/>
          <w:bCs/>
          <w:kern w:val="0"/>
          <w:sz w:val="28"/>
          <w:szCs w:val="28"/>
          <w:lang w:val="en-US" w:eastAsia="zh-CN"/>
        </w:rPr>
        <w:t>工程</w:t>
      </w:r>
      <w:r>
        <w:rPr>
          <w:rFonts w:hint="eastAsia" w:ascii="Times New Roman" w:hAnsi="Times New Roman" w:eastAsia="仿宋_GB2312" w:cs="Times New Roman"/>
          <w:bCs/>
          <w:kern w:val="0"/>
          <w:sz w:val="28"/>
          <w:szCs w:val="28"/>
          <w:lang w:val="en-US" w:eastAsia="zh-CN"/>
        </w:rPr>
        <w:t>项目工程费用为114.05万元，其中水肥一体化投资98.77万元，水肥一体化配套电源7.00万元，水肥一体化电费1.56万元，作业道路（含1米宽土路、3米宽土路）6.72万元。</w:t>
      </w:r>
    </w:p>
    <w:p w14:paraId="1B19C082">
      <w:pPr>
        <w:pStyle w:val="9"/>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楷体" w:hAnsi="楷体" w:eastAsia="楷体" w:cs="楷体"/>
          <w:b/>
          <w:bCs w:val="0"/>
          <w:kern w:val="0"/>
          <w:sz w:val="24"/>
          <w:szCs w:val="24"/>
          <w:lang w:val="en-US" w:eastAsia="zh-CN"/>
        </w:rPr>
      </w:pPr>
      <w:r>
        <w:rPr>
          <w:rFonts w:hint="eastAsia" w:ascii="楷体" w:hAnsi="楷体" w:eastAsia="楷体" w:cs="楷体"/>
          <w:b/>
          <w:bCs w:val="0"/>
          <w:kern w:val="0"/>
          <w:sz w:val="24"/>
          <w:szCs w:val="24"/>
          <w:lang w:val="en-US" w:eastAsia="zh-CN"/>
        </w:rPr>
        <w:t>表11-10 水肥一体化及作业道路工程费概算汇总表</w:t>
      </w:r>
    </w:p>
    <w:tbl>
      <w:tblPr>
        <w:tblStyle w:val="20"/>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308"/>
        <w:gridCol w:w="3816"/>
        <w:gridCol w:w="1792"/>
        <w:gridCol w:w="1603"/>
      </w:tblGrid>
      <w:tr w14:paraId="4A578F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exact"/>
        </w:trPr>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5BA134">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ascii="楷体" w:hAnsi="楷体" w:eastAsia="楷体" w:cs="楷体"/>
                <w:b/>
                <w:bCs/>
                <w:i w:val="0"/>
                <w:iCs w:val="0"/>
                <w:color w:val="000000"/>
                <w:sz w:val="24"/>
                <w:szCs w:val="24"/>
                <w:u w:val="none"/>
              </w:rPr>
            </w:pPr>
            <w:r>
              <w:rPr>
                <w:rFonts w:hint="eastAsia" w:ascii="楷体" w:hAnsi="楷体" w:eastAsia="楷体" w:cs="楷体"/>
                <w:b/>
                <w:bCs/>
                <w:i w:val="0"/>
                <w:iCs w:val="0"/>
                <w:color w:val="000000"/>
                <w:kern w:val="0"/>
                <w:sz w:val="24"/>
                <w:szCs w:val="24"/>
                <w:u w:val="none"/>
                <w:lang w:val="en-US" w:eastAsia="zh-CN" w:bidi="ar"/>
              </w:rPr>
              <w:t>序号</w:t>
            </w:r>
          </w:p>
        </w:tc>
        <w:tc>
          <w:tcPr>
            <w:tcW w:w="22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F614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sz w:val="24"/>
                <w:szCs w:val="24"/>
                <w:u w:val="none"/>
              </w:rPr>
            </w:pPr>
            <w:r>
              <w:rPr>
                <w:rFonts w:hint="eastAsia" w:ascii="楷体" w:hAnsi="楷体" w:eastAsia="楷体" w:cs="楷体"/>
                <w:b/>
                <w:bCs/>
                <w:i w:val="0"/>
                <w:iCs w:val="0"/>
                <w:color w:val="000000"/>
                <w:kern w:val="0"/>
                <w:sz w:val="24"/>
                <w:szCs w:val="24"/>
                <w:u w:val="none"/>
                <w:lang w:val="en-US" w:eastAsia="zh-CN" w:bidi="ar"/>
              </w:rPr>
              <w:t>项目</w:t>
            </w:r>
          </w:p>
        </w:tc>
        <w:tc>
          <w:tcPr>
            <w:tcW w:w="10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52D8B">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sz w:val="24"/>
                <w:szCs w:val="24"/>
                <w:u w:val="none"/>
              </w:rPr>
            </w:pPr>
            <w:r>
              <w:rPr>
                <w:rFonts w:hint="eastAsia" w:ascii="楷体" w:hAnsi="楷体" w:eastAsia="楷体" w:cs="楷体"/>
                <w:b/>
                <w:bCs/>
                <w:i w:val="0"/>
                <w:iCs w:val="0"/>
                <w:color w:val="000000"/>
                <w:kern w:val="0"/>
                <w:sz w:val="24"/>
                <w:szCs w:val="24"/>
                <w:u w:val="none"/>
                <w:lang w:val="en-US" w:eastAsia="zh-CN" w:bidi="ar"/>
              </w:rPr>
              <w:t>白石镇</w:t>
            </w:r>
          </w:p>
        </w:tc>
        <w:tc>
          <w:tcPr>
            <w:tcW w:w="9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11BA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sz w:val="24"/>
                <w:szCs w:val="24"/>
                <w:u w:val="none"/>
              </w:rPr>
            </w:pPr>
            <w:r>
              <w:rPr>
                <w:rFonts w:hint="eastAsia" w:ascii="楷体" w:hAnsi="楷体" w:eastAsia="楷体" w:cs="楷体"/>
                <w:b/>
                <w:bCs/>
                <w:i w:val="0"/>
                <w:iCs w:val="0"/>
                <w:color w:val="000000"/>
                <w:kern w:val="0"/>
                <w:sz w:val="24"/>
                <w:szCs w:val="24"/>
                <w:u w:val="none"/>
                <w:lang w:val="en-US" w:eastAsia="zh-CN" w:bidi="ar"/>
              </w:rPr>
              <w:t>合计</w:t>
            </w:r>
          </w:p>
        </w:tc>
      </w:tr>
      <w:tr w14:paraId="1A83F7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exact"/>
        </w:trPr>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7A14C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i w:val="0"/>
                <w:iCs w:val="0"/>
                <w:color w:val="000000"/>
                <w:sz w:val="24"/>
                <w:szCs w:val="24"/>
                <w:u w:val="none"/>
              </w:rPr>
            </w:pPr>
            <w:r>
              <w:rPr>
                <w:rFonts w:hint="eastAsia" w:ascii="楷体" w:hAnsi="楷体" w:eastAsia="楷体" w:cs="楷体"/>
                <w:i w:val="0"/>
                <w:iCs w:val="0"/>
                <w:color w:val="000000"/>
                <w:kern w:val="0"/>
                <w:sz w:val="24"/>
                <w:szCs w:val="24"/>
                <w:u w:val="none"/>
                <w:lang w:val="en-US" w:eastAsia="zh-CN" w:bidi="ar"/>
              </w:rPr>
              <w:t>1</w:t>
            </w:r>
          </w:p>
        </w:tc>
        <w:tc>
          <w:tcPr>
            <w:tcW w:w="22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A5698">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i w:val="0"/>
                <w:iCs w:val="0"/>
                <w:color w:val="000000"/>
                <w:sz w:val="24"/>
                <w:szCs w:val="24"/>
                <w:u w:val="none"/>
              </w:rPr>
            </w:pPr>
            <w:r>
              <w:rPr>
                <w:rFonts w:hint="eastAsia" w:ascii="楷体" w:hAnsi="楷体" w:eastAsia="楷体" w:cs="楷体"/>
                <w:i w:val="0"/>
                <w:iCs w:val="0"/>
                <w:color w:val="000000"/>
                <w:kern w:val="0"/>
                <w:sz w:val="24"/>
                <w:szCs w:val="24"/>
                <w:u w:val="none"/>
                <w:lang w:val="en-US" w:eastAsia="zh-CN" w:bidi="ar"/>
              </w:rPr>
              <w:t>水肥一体化</w:t>
            </w:r>
          </w:p>
        </w:tc>
        <w:tc>
          <w:tcPr>
            <w:tcW w:w="17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9B52C">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98.77</w:t>
            </w:r>
          </w:p>
        </w:tc>
        <w:tc>
          <w:tcPr>
            <w:tcW w:w="16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F5B8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98.77</w:t>
            </w:r>
          </w:p>
        </w:tc>
      </w:tr>
      <w:tr w14:paraId="79E545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exact"/>
        </w:trPr>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EBFF0D">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i w:val="0"/>
                <w:iCs w:val="0"/>
                <w:color w:val="000000"/>
                <w:sz w:val="24"/>
                <w:szCs w:val="24"/>
                <w:u w:val="none"/>
              </w:rPr>
            </w:pPr>
            <w:r>
              <w:rPr>
                <w:rFonts w:hint="eastAsia" w:ascii="楷体" w:hAnsi="楷体" w:eastAsia="楷体" w:cs="楷体"/>
                <w:i w:val="0"/>
                <w:iCs w:val="0"/>
                <w:color w:val="000000"/>
                <w:kern w:val="0"/>
                <w:sz w:val="24"/>
                <w:szCs w:val="24"/>
                <w:u w:val="none"/>
                <w:lang w:val="en-US" w:eastAsia="zh-CN" w:bidi="ar"/>
              </w:rPr>
              <w:t>2</w:t>
            </w:r>
          </w:p>
        </w:tc>
        <w:tc>
          <w:tcPr>
            <w:tcW w:w="22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CCA3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i w:val="0"/>
                <w:iCs w:val="0"/>
                <w:color w:val="000000"/>
                <w:sz w:val="24"/>
                <w:szCs w:val="24"/>
                <w:u w:val="none"/>
              </w:rPr>
            </w:pPr>
            <w:r>
              <w:rPr>
                <w:rFonts w:hint="eastAsia" w:ascii="楷体" w:hAnsi="楷体" w:eastAsia="楷体" w:cs="楷体"/>
                <w:i w:val="0"/>
                <w:iCs w:val="0"/>
                <w:color w:val="000000"/>
                <w:sz w:val="24"/>
                <w:szCs w:val="24"/>
                <w:u w:val="none"/>
              </w:rPr>
              <w:t>水肥一体化配套电源</w:t>
            </w:r>
          </w:p>
        </w:tc>
        <w:tc>
          <w:tcPr>
            <w:tcW w:w="17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F5341">
            <w:pPr>
              <w:keepNext w:val="0"/>
              <w:keepLines w:val="0"/>
              <w:widowControl w:val="0"/>
              <w:suppressLineNumbers w:val="0"/>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7.00</w:t>
            </w:r>
          </w:p>
        </w:tc>
        <w:tc>
          <w:tcPr>
            <w:tcW w:w="16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8B5EE">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7.00</w:t>
            </w:r>
          </w:p>
        </w:tc>
      </w:tr>
      <w:tr w14:paraId="55C19E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exact"/>
        </w:trPr>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57F7A">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3</w:t>
            </w:r>
          </w:p>
        </w:tc>
        <w:tc>
          <w:tcPr>
            <w:tcW w:w="22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CB6DE">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水肥一体化电费</w:t>
            </w:r>
          </w:p>
        </w:tc>
        <w:tc>
          <w:tcPr>
            <w:tcW w:w="17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80C876">
            <w:pPr>
              <w:keepNext w:val="0"/>
              <w:keepLines w:val="0"/>
              <w:widowControl w:val="0"/>
              <w:suppressLineNumbers w:val="0"/>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1.56</w:t>
            </w:r>
          </w:p>
        </w:tc>
        <w:tc>
          <w:tcPr>
            <w:tcW w:w="16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59EDB9">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1.56</w:t>
            </w:r>
          </w:p>
        </w:tc>
      </w:tr>
      <w:tr w14:paraId="0F8B02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463E8">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4</w:t>
            </w:r>
          </w:p>
        </w:tc>
        <w:tc>
          <w:tcPr>
            <w:tcW w:w="38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58C77">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作业道路（土路，1米宽）</w:t>
            </w:r>
          </w:p>
        </w:tc>
        <w:tc>
          <w:tcPr>
            <w:tcW w:w="17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FE999">
            <w:pPr>
              <w:keepNext w:val="0"/>
              <w:keepLines w:val="0"/>
              <w:widowControl w:val="0"/>
              <w:suppressLineNumbers w:val="0"/>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5.07</w:t>
            </w:r>
          </w:p>
        </w:tc>
        <w:tc>
          <w:tcPr>
            <w:tcW w:w="16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802B7">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5.07</w:t>
            </w:r>
          </w:p>
        </w:tc>
      </w:tr>
      <w:tr w14:paraId="7298DB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F0D9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5</w:t>
            </w:r>
          </w:p>
        </w:tc>
        <w:tc>
          <w:tcPr>
            <w:tcW w:w="38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5E02E6">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作业道路（土路，含路肩3米宽）</w:t>
            </w:r>
          </w:p>
        </w:tc>
        <w:tc>
          <w:tcPr>
            <w:tcW w:w="17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D6CEB9">
            <w:pPr>
              <w:keepNext w:val="0"/>
              <w:keepLines w:val="0"/>
              <w:widowControl w:val="0"/>
              <w:suppressLineNumbers w:val="0"/>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1.65</w:t>
            </w:r>
          </w:p>
        </w:tc>
        <w:tc>
          <w:tcPr>
            <w:tcW w:w="16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A1F677">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1.65</w:t>
            </w:r>
          </w:p>
        </w:tc>
      </w:tr>
      <w:tr w14:paraId="0DEBE1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57B1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sz w:val="24"/>
                <w:szCs w:val="24"/>
                <w:u w:val="none"/>
              </w:rPr>
            </w:pPr>
            <w:r>
              <w:rPr>
                <w:rFonts w:hint="eastAsia" w:ascii="楷体" w:hAnsi="楷体" w:eastAsia="楷体" w:cs="楷体"/>
                <w:b/>
                <w:bCs/>
                <w:i w:val="0"/>
                <w:iCs w:val="0"/>
                <w:color w:val="000000"/>
                <w:kern w:val="0"/>
                <w:sz w:val="24"/>
                <w:szCs w:val="24"/>
                <w:u w:val="none"/>
                <w:lang w:val="en-US" w:eastAsia="zh-CN" w:bidi="ar"/>
              </w:rPr>
              <w:t>6</w:t>
            </w:r>
          </w:p>
        </w:tc>
        <w:tc>
          <w:tcPr>
            <w:tcW w:w="22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895DD">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sz w:val="24"/>
                <w:szCs w:val="24"/>
                <w:u w:val="none"/>
              </w:rPr>
            </w:pPr>
            <w:r>
              <w:rPr>
                <w:rFonts w:hint="eastAsia" w:ascii="楷体" w:hAnsi="楷体" w:eastAsia="楷体" w:cs="楷体"/>
                <w:b/>
                <w:bCs/>
                <w:i w:val="0"/>
                <w:iCs w:val="0"/>
                <w:color w:val="000000"/>
                <w:kern w:val="0"/>
                <w:sz w:val="24"/>
                <w:szCs w:val="24"/>
                <w:u w:val="none"/>
                <w:lang w:val="en-US" w:eastAsia="zh-CN" w:bidi="ar"/>
              </w:rPr>
              <w:t>合计</w:t>
            </w:r>
          </w:p>
        </w:tc>
        <w:tc>
          <w:tcPr>
            <w:tcW w:w="17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4B93E">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114.05</w:t>
            </w:r>
          </w:p>
        </w:tc>
        <w:tc>
          <w:tcPr>
            <w:tcW w:w="16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079B4">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1140.5</w:t>
            </w:r>
          </w:p>
        </w:tc>
      </w:tr>
    </w:tbl>
    <w:p w14:paraId="11483C8F">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1）水肥一体化</w:t>
      </w:r>
    </w:p>
    <w:p w14:paraId="0978520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项目水肥一体化工程费概算98.77万元，具体费用组成详见下表。</w:t>
      </w:r>
    </w:p>
    <w:p w14:paraId="3C71DF87">
      <w:pPr>
        <w:pStyle w:val="9"/>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楷体" w:hAnsi="楷体" w:eastAsia="楷体" w:cs="楷体"/>
          <w:b/>
          <w:bCs w:val="0"/>
          <w:kern w:val="0"/>
          <w:sz w:val="24"/>
          <w:szCs w:val="24"/>
          <w:lang w:val="en-US" w:eastAsia="zh-CN"/>
        </w:rPr>
      </w:pPr>
      <w:r>
        <w:rPr>
          <w:rFonts w:hint="eastAsia" w:ascii="楷体" w:hAnsi="楷体" w:eastAsia="楷体" w:cs="楷体"/>
          <w:b/>
          <w:bCs w:val="0"/>
          <w:kern w:val="0"/>
          <w:sz w:val="24"/>
          <w:szCs w:val="24"/>
          <w:lang w:val="en-US" w:eastAsia="zh-CN"/>
        </w:rPr>
        <w:t>表11-11 水肥一体化工程费概算表</w:t>
      </w:r>
    </w:p>
    <w:tbl>
      <w:tblPr>
        <w:tblStyle w:val="20"/>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38"/>
        <w:gridCol w:w="1811"/>
        <w:gridCol w:w="841"/>
        <w:gridCol w:w="1134"/>
        <w:gridCol w:w="2075"/>
        <w:gridCol w:w="1823"/>
      </w:tblGrid>
      <w:tr w14:paraId="24F7AB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blHeader/>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16E04B">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kern w:val="0"/>
                <w:sz w:val="20"/>
                <w:szCs w:val="20"/>
                <w:u w:val="none"/>
                <w:lang w:val="en-US" w:eastAsia="zh-CN" w:bidi="ar"/>
              </w:rPr>
            </w:pPr>
            <w:r>
              <w:rPr>
                <w:rFonts w:hint="eastAsia" w:ascii="楷体" w:hAnsi="楷体" w:eastAsia="楷体" w:cs="楷体"/>
                <w:b/>
                <w:bCs/>
                <w:i w:val="0"/>
                <w:iCs w:val="0"/>
                <w:color w:val="000000"/>
                <w:kern w:val="0"/>
                <w:sz w:val="20"/>
                <w:szCs w:val="20"/>
                <w:u w:val="none"/>
                <w:lang w:val="en-US" w:eastAsia="zh-CN" w:bidi="ar"/>
              </w:rPr>
              <w:t>序号</w:t>
            </w:r>
          </w:p>
        </w:tc>
        <w:tc>
          <w:tcPr>
            <w:tcW w:w="10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CCCA2C">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kern w:val="0"/>
                <w:sz w:val="20"/>
                <w:szCs w:val="20"/>
                <w:u w:val="none"/>
                <w:lang w:val="en-US" w:eastAsia="zh-CN" w:bidi="ar"/>
              </w:rPr>
            </w:pPr>
            <w:r>
              <w:rPr>
                <w:rFonts w:hint="eastAsia" w:ascii="楷体" w:hAnsi="楷体" w:eastAsia="楷体" w:cs="楷体"/>
                <w:b/>
                <w:bCs/>
                <w:i w:val="0"/>
                <w:iCs w:val="0"/>
                <w:color w:val="000000"/>
                <w:kern w:val="0"/>
                <w:sz w:val="20"/>
                <w:szCs w:val="20"/>
                <w:u w:val="none"/>
                <w:lang w:val="en-US" w:eastAsia="zh-CN" w:bidi="ar"/>
              </w:rPr>
              <w:t>名称</w:t>
            </w:r>
          </w:p>
        </w:tc>
        <w:tc>
          <w:tcPr>
            <w:tcW w:w="49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4122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kern w:val="0"/>
                <w:sz w:val="20"/>
                <w:szCs w:val="20"/>
                <w:u w:val="none"/>
                <w:lang w:val="en-US" w:eastAsia="zh-CN" w:bidi="ar"/>
              </w:rPr>
            </w:pPr>
            <w:r>
              <w:rPr>
                <w:rFonts w:hint="eastAsia" w:ascii="楷体" w:hAnsi="楷体" w:eastAsia="楷体" w:cs="楷体"/>
                <w:b/>
                <w:bCs/>
                <w:i w:val="0"/>
                <w:iCs w:val="0"/>
                <w:color w:val="000000"/>
                <w:kern w:val="0"/>
                <w:sz w:val="20"/>
                <w:szCs w:val="20"/>
                <w:u w:val="none"/>
                <w:lang w:val="en-US" w:eastAsia="zh-CN" w:bidi="ar"/>
              </w:rPr>
              <w:t>单位</w:t>
            </w:r>
          </w:p>
        </w:tc>
        <w:tc>
          <w:tcPr>
            <w:tcW w:w="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9439A">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kern w:val="0"/>
                <w:sz w:val="20"/>
                <w:szCs w:val="20"/>
                <w:u w:val="none"/>
                <w:lang w:val="en-US" w:eastAsia="zh-CN" w:bidi="ar"/>
              </w:rPr>
            </w:pPr>
            <w:r>
              <w:rPr>
                <w:rFonts w:hint="eastAsia" w:ascii="楷体" w:hAnsi="楷体" w:eastAsia="楷体" w:cs="楷体"/>
                <w:b/>
                <w:bCs/>
                <w:i w:val="0"/>
                <w:iCs w:val="0"/>
                <w:color w:val="000000"/>
                <w:kern w:val="0"/>
                <w:sz w:val="20"/>
                <w:szCs w:val="20"/>
                <w:u w:val="none"/>
                <w:lang w:val="en-US" w:eastAsia="zh-CN" w:bidi="ar"/>
              </w:rPr>
              <w:t>工程量</w:t>
            </w:r>
          </w:p>
        </w:tc>
        <w:tc>
          <w:tcPr>
            <w:tcW w:w="1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9B01B">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kern w:val="0"/>
                <w:sz w:val="20"/>
                <w:szCs w:val="20"/>
                <w:u w:val="none"/>
                <w:lang w:val="en-US" w:eastAsia="zh-CN" w:bidi="ar"/>
              </w:rPr>
            </w:pPr>
            <w:r>
              <w:rPr>
                <w:rFonts w:hint="eastAsia" w:ascii="楷体" w:hAnsi="楷体" w:eastAsia="楷体" w:cs="楷体"/>
                <w:b/>
                <w:bCs/>
                <w:i w:val="0"/>
                <w:iCs w:val="0"/>
                <w:color w:val="000000"/>
                <w:kern w:val="0"/>
                <w:sz w:val="20"/>
                <w:szCs w:val="20"/>
                <w:u w:val="none"/>
                <w:lang w:val="en-US" w:eastAsia="zh-CN" w:bidi="ar"/>
              </w:rPr>
              <w:t>综合单价（元）</w:t>
            </w:r>
          </w:p>
        </w:tc>
        <w:tc>
          <w:tcPr>
            <w:tcW w:w="10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F22B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kern w:val="0"/>
                <w:sz w:val="20"/>
                <w:szCs w:val="20"/>
                <w:u w:val="none"/>
                <w:lang w:val="en-US" w:eastAsia="zh-CN" w:bidi="ar"/>
              </w:rPr>
            </w:pPr>
            <w:r>
              <w:rPr>
                <w:rFonts w:hint="eastAsia" w:ascii="楷体" w:hAnsi="楷体" w:eastAsia="楷体" w:cs="楷体"/>
                <w:b/>
                <w:bCs/>
                <w:i w:val="0"/>
                <w:iCs w:val="0"/>
                <w:color w:val="000000"/>
                <w:kern w:val="0"/>
                <w:sz w:val="20"/>
                <w:szCs w:val="20"/>
                <w:u w:val="none"/>
                <w:lang w:val="en-US" w:eastAsia="zh-CN" w:bidi="ar"/>
              </w:rPr>
              <w:t>合计（万元）</w:t>
            </w:r>
          </w:p>
        </w:tc>
      </w:tr>
      <w:tr w14:paraId="289FB3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EFF22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1</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0E5A6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PE实壁管</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9047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米</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323C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400</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9398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9D4B0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1.2</w:t>
            </w:r>
          </w:p>
        </w:tc>
      </w:tr>
      <w:tr w14:paraId="1F61C6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94FA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2</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C592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PE实壁管</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4F486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米</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48F7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1622</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A0AE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ACA1A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3.24</w:t>
            </w:r>
          </w:p>
        </w:tc>
      </w:tr>
      <w:tr w14:paraId="729DBC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57E5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3</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5F180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PE实壁管</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8C36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米</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D464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5200</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0E96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18</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81A8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9.36</w:t>
            </w:r>
          </w:p>
        </w:tc>
      </w:tr>
      <w:tr w14:paraId="56B295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20C7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4</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9D96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PE实壁管</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051D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米</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3F00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1419</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B1C7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15</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7AA8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2.13</w:t>
            </w:r>
          </w:p>
        </w:tc>
      </w:tr>
      <w:tr w14:paraId="5EAE37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8808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5</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71AC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LDPE管(含管件)</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D2C55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米</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696A3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121680</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E2AE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25D9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36.5</w:t>
            </w:r>
          </w:p>
        </w:tc>
      </w:tr>
      <w:tr w14:paraId="592FA3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6340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6</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9FD3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压力补偿滴头</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EF45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6227E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75712</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F636C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F5A83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15.14</w:t>
            </w:r>
          </w:p>
        </w:tc>
      </w:tr>
      <w:tr w14:paraId="1CEA7B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BA54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7</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AE96A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双壁波纹管</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BD39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米</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88C0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25</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A821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70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9857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0.18</w:t>
            </w:r>
          </w:p>
        </w:tc>
      </w:tr>
      <w:tr w14:paraId="62834E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8BFD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8</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5182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弹性座封闸阀</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404E1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FCF02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6</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A183E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350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E6E79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0.21</w:t>
            </w:r>
          </w:p>
        </w:tc>
      </w:tr>
      <w:tr w14:paraId="7C953A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4C67B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9</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1A59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弹性座封闸阀</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B4B1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12C9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36C0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850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1B9C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0.17</w:t>
            </w:r>
          </w:p>
        </w:tc>
      </w:tr>
      <w:tr w14:paraId="71BEF7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0F660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10</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F5834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电磁阀</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87CB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0551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14</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27A7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800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71797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1.12</w:t>
            </w:r>
          </w:p>
        </w:tc>
      </w:tr>
      <w:tr w14:paraId="3577AF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4340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11</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D842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减压阀</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46B20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CAE0B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19</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5C6B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1400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E1BC1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2.66</w:t>
            </w:r>
          </w:p>
        </w:tc>
      </w:tr>
      <w:tr w14:paraId="51647B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5FE4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12</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1B2E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减压阀</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2FA74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0D9FB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581E9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1200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2442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0.24</w:t>
            </w:r>
          </w:p>
        </w:tc>
      </w:tr>
      <w:tr w14:paraId="48D4E1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9C04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13</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941E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PF实壁管</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78F16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米</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CE32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29</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58EDB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5</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2C5A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0.01</w:t>
            </w:r>
          </w:p>
        </w:tc>
      </w:tr>
      <w:tr w14:paraId="33441E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21D24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14</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3C62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球阀</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737C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8676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773D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250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2D847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0.05</w:t>
            </w:r>
          </w:p>
        </w:tc>
      </w:tr>
      <w:tr w14:paraId="71F03E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7523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15</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33B7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球阀</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0751E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B894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29</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5FA3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55</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C4D4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0.16</w:t>
            </w:r>
          </w:p>
        </w:tc>
      </w:tr>
      <w:tr w14:paraId="1939BA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80AC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16</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718C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排气阀</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172F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C8FF0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9BCB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90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D3C8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0.03</w:t>
            </w:r>
          </w:p>
        </w:tc>
      </w:tr>
      <w:tr w14:paraId="1DA504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CB6E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17</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AA9F8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排泥阀</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96D7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B2BB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B0C55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350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96C2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0.04</w:t>
            </w:r>
          </w:p>
        </w:tc>
      </w:tr>
      <w:tr w14:paraId="40A60B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713F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18</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7E9AE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三通</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E6AC5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F5A90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10</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D8F9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150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DFCF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0.15</w:t>
            </w:r>
          </w:p>
        </w:tc>
      </w:tr>
      <w:tr w14:paraId="0D491A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F31C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19</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8757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三通</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67A6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A2C8E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29</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ABFEC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100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324D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0.29</w:t>
            </w:r>
          </w:p>
        </w:tc>
      </w:tr>
      <w:tr w14:paraId="5D4168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3A73B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20</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9266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30°弯管</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4F103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FC71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30</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FCAD0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2E19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0.06</w:t>
            </w:r>
          </w:p>
        </w:tc>
      </w:tr>
      <w:tr w14:paraId="17644D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B27D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21</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6E30F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45°变管</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99B5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15E3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30</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A33AD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6E9F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0.09</w:t>
            </w:r>
          </w:p>
        </w:tc>
      </w:tr>
      <w:tr w14:paraId="01E241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7C53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22</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B1B8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90°弯管</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84DE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D48EF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30</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3B8E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35</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2AA7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0.11</w:t>
            </w:r>
          </w:p>
        </w:tc>
      </w:tr>
      <w:tr w14:paraId="38E89A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83A6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23</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7A4AF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阀门井</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EAA9E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座</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6378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15</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4C2F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450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5B2A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0.68</w:t>
            </w:r>
          </w:p>
        </w:tc>
      </w:tr>
      <w:tr w14:paraId="3250B1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101F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24</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A0BA2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三通</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06770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7932D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24</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6B24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200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D1EC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0.48</w:t>
            </w:r>
          </w:p>
        </w:tc>
      </w:tr>
      <w:tr w14:paraId="7B70C6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1527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25</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7920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三通</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F748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9143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24</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1B169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180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1238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0.43</w:t>
            </w:r>
          </w:p>
        </w:tc>
      </w:tr>
      <w:tr w14:paraId="11B497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46F9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26</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4F7A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30°弯管</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6269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5B816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24</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69F6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45</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92E3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0.11</w:t>
            </w:r>
          </w:p>
        </w:tc>
      </w:tr>
      <w:tr w14:paraId="7963D5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DA6F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27</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5D15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45°弯管</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9112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C963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24</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FA600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60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CC37A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0.14</w:t>
            </w:r>
          </w:p>
        </w:tc>
      </w:tr>
      <w:tr w14:paraId="79A479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974F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28</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38EB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90°弯管</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AD83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只</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BA74D">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24</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DD45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75</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AB17E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0.18</w:t>
            </w:r>
          </w:p>
        </w:tc>
      </w:tr>
      <w:tr w14:paraId="3B9198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A649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29</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EDC4E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管道包方</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D992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米</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F88C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177</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88928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200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7BC0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3.54</w:t>
            </w:r>
          </w:p>
        </w:tc>
      </w:tr>
      <w:tr w14:paraId="40CB45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4AB4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30</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9A79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10吨PE桶</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3B21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座</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C3E2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EAB85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6000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69D83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1.2</w:t>
            </w:r>
          </w:p>
        </w:tc>
      </w:tr>
      <w:tr w14:paraId="738187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8AE55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31</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2AB72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钢筋砼提升井</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F5E63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座</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EE0B2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82DFA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4500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431BE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0.45</w:t>
            </w:r>
          </w:p>
        </w:tc>
      </w:tr>
      <w:tr w14:paraId="6CD1A9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02729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32</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8840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水肥机房</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616A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w w:val="1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座</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359415">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ED4A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80000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CE81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8</w:t>
            </w:r>
          </w:p>
        </w:tc>
      </w:tr>
      <w:tr w14:paraId="71ABC0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27C4F">
            <w:pPr>
              <w:keepNext w:val="0"/>
              <w:keepLines w:val="0"/>
              <w:widowControl w:val="0"/>
              <w:suppressLineNumbers w:val="0"/>
              <w:spacing w:after="0" w:line="240" w:lineRule="auto"/>
              <w:ind w:firstLine="0" w:firstLineChars="0"/>
              <w:jc w:val="center"/>
              <w:textAlignment w:val="center"/>
              <w:rPr>
                <w:rFonts w:hint="default"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33</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CF511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水肥设备系统</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B3A2B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套</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7201C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142A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70000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02DD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7</w:t>
            </w:r>
          </w:p>
        </w:tc>
      </w:tr>
      <w:tr w14:paraId="00696D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796EC1">
            <w:pPr>
              <w:keepNext w:val="0"/>
              <w:keepLines w:val="0"/>
              <w:widowControl w:val="0"/>
              <w:suppressLineNumbers w:val="0"/>
              <w:spacing w:after="0" w:line="240" w:lineRule="auto"/>
              <w:ind w:firstLine="0" w:firstLineChars="0"/>
              <w:jc w:val="center"/>
              <w:textAlignment w:val="center"/>
              <w:rPr>
                <w:rFonts w:hint="default"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34</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43B5BB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混凝土支墩</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D08671C">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立方米</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575AED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71</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D1382">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200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3C494A">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1.42</w:t>
            </w:r>
          </w:p>
        </w:tc>
      </w:tr>
      <w:tr w14:paraId="5344A4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4BAA1">
            <w:pPr>
              <w:keepNext w:val="0"/>
              <w:keepLines w:val="0"/>
              <w:widowControl w:val="0"/>
              <w:suppressLineNumbers w:val="0"/>
              <w:spacing w:after="0" w:line="240" w:lineRule="auto"/>
              <w:ind w:firstLine="0" w:firstLineChars="0"/>
              <w:jc w:val="center"/>
              <w:textAlignment w:val="center"/>
              <w:rPr>
                <w:rFonts w:hint="default"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b w:val="0"/>
                <w:bCs w:val="0"/>
                <w:i w:val="0"/>
                <w:iCs w:val="0"/>
                <w:color w:val="000000"/>
                <w:kern w:val="0"/>
                <w:sz w:val="20"/>
                <w:szCs w:val="20"/>
                <w:u w:val="none"/>
                <w:lang w:val="en-US" w:eastAsia="zh-CN" w:bidi="ar"/>
              </w:rPr>
              <w:t>35</w:t>
            </w:r>
          </w:p>
        </w:tc>
        <w:tc>
          <w:tcPr>
            <w:tcW w:w="181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8C02C3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蓄水桶</w:t>
            </w:r>
          </w:p>
        </w:tc>
        <w:tc>
          <w:tcPr>
            <w:tcW w:w="8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E5EC9B">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座</w:t>
            </w:r>
          </w:p>
        </w:tc>
        <w:tc>
          <w:tcPr>
            <w:tcW w:w="113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24C054E">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1</w:t>
            </w:r>
          </w:p>
        </w:tc>
        <w:tc>
          <w:tcPr>
            <w:tcW w:w="20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29F3A6">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20000</w:t>
            </w:r>
          </w:p>
        </w:tc>
        <w:tc>
          <w:tcPr>
            <w:tcW w:w="18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36C03">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0"/>
                <w:szCs w:val="20"/>
                <w:u w:val="none"/>
                <w:lang w:val="en-US" w:eastAsia="zh-CN" w:bidi="ar"/>
              </w:rPr>
            </w:pPr>
            <w:r>
              <w:rPr>
                <w:rFonts w:hint="eastAsia" w:ascii="楷体" w:hAnsi="楷体" w:eastAsia="楷体" w:cs="楷体"/>
                <w:i w:val="0"/>
                <w:iCs w:val="0"/>
                <w:color w:val="000000"/>
                <w:kern w:val="0"/>
                <w:sz w:val="20"/>
                <w:szCs w:val="20"/>
                <w:u w:val="none"/>
                <w:lang w:val="en-US" w:eastAsia="zh-CN" w:bidi="ar"/>
              </w:rPr>
              <w:t>2</w:t>
            </w:r>
          </w:p>
        </w:tc>
      </w:tr>
      <w:tr w14:paraId="0A343E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4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FE7B3A">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kern w:val="0"/>
                <w:sz w:val="20"/>
                <w:szCs w:val="20"/>
                <w:u w:val="none"/>
                <w:lang w:val="en-US" w:eastAsia="zh-CN" w:bidi="ar"/>
              </w:rPr>
            </w:pPr>
            <w:r>
              <w:rPr>
                <w:rFonts w:hint="eastAsia" w:ascii="楷体" w:hAnsi="楷体" w:eastAsia="楷体" w:cs="楷体"/>
                <w:b/>
                <w:bCs/>
                <w:i w:val="0"/>
                <w:iCs w:val="0"/>
                <w:color w:val="000000"/>
                <w:kern w:val="0"/>
                <w:sz w:val="20"/>
                <w:szCs w:val="20"/>
                <w:u w:val="none"/>
                <w:lang w:val="en-US" w:eastAsia="zh-CN" w:bidi="ar"/>
              </w:rPr>
              <w:t>36</w:t>
            </w:r>
          </w:p>
        </w:tc>
        <w:tc>
          <w:tcPr>
            <w:tcW w:w="10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9AD02C">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kern w:val="0"/>
                <w:sz w:val="20"/>
                <w:szCs w:val="20"/>
                <w:u w:val="none"/>
                <w:lang w:val="en-US" w:eastAsia="zh-CN" w:bidi="ar"/>
              </w:rPr>
            </w:pPr>
            <w:r>
              <w:rPr>
                <w:rFonts w:hint="eastAsia" w:ascii="楷体" w:hAnsi="楷体" w:eastAsia="楷体" w:cs="楷体"/>
                <w:b/>
                <w:bCs/>
                <w:i w:val="0"/>
                <w:iCs w:val="0"/>
                <w:color w:val="000000"/>
                <w:kern w:val="0"/>
                <w:sz w:val="20"/>
                <w:szCs w:val="20"/>
                <w:u w:val="none"/>
                <w:lang w:val="en-US" w:eastAsia="zh-CN" w:bidi="ar"/>
              </w:rPr>
              <w:t>小计</w:t>
            </w:r>
          </w:p>
        </w:tc>
        <w:tc>
          <w:tcPr>
            <w:tcW w:w="49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28DBD">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kern w:val="0"/>
                <w:sz w:val="20"/>
                <w:szCs w:val="20"/>
                <w:u w:val="none"/>
                <w:lang w:val="en-US" w:eastAsia="zh-CN" w:bidi="ar"/>
              </w:rPr>
            </w:pPr>
          </w:p>
        </w:tc>
        <w:tc>
          <w:tcPr>
            <w:tcW w:w="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5C0370">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kern w:val="0"/>
                <w:sz w:val="20"/>
                <w:szCs w:val="20"/>
                <w:u w:val="none"/>
                <w:lang w:val="en-US" w:eastAsia="zh-CN" w:bidi="ar"/>
              </w:rPr>
            </w:pPr>
          </w:p>
        </w:tc>
        <w:tc>
          <w:tcPr>
            <w:tcW w:w="12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915498">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楷体" w:hAnsi="楷体" w:eastAsia="楷体" w:cs="楷体"/>
                <w:b/>
                <w:bCs/>
                <w:i w:val="0"/>
                <w:iCs w:val="0"/>
                <w:color w:val="000000"/>
                <w:kern w:val="0"/>
                <w:sz w:val="20"/>
                <w:szCs w:val="20"/>
                <w:u w:val="none"/>
                <w:lang w:val="en-US" w:eastAsia="zh-CN" w:bidi="ar"/>
              </w:rPr>
            </w:pPr>
          </w:p>
        </w:tc>
        <w:tc>
          <w:tcPr>
            <w:tcW w:w="10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9302C">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bCs/>
                <w:i w:val="0"/>
                <w:iCs w:val="0"/>
                <w:color w:val="000000"/>
                <w:kern w:val="0"/>
                <w:sz w:val="20"/>
                <w:szCs w:val="20"/>
                <w:u w:val="none"/>
                <w:lang w:val="en-US" w:eastAsia="zh-CN" w:bidi="ar"/>
              </w:rPr>
            </w:pPr>
            <w:r>
              <w:rPr>
                <w:rFonts w:hint="eastAsia" w:ascii="楷体" w:hAnsi="楷体" w:eastAsia="楷体" w:cs="楷体"/>
                <w:b/>
                <w:bCs/>
                <w:i w:val="0"/>
                <w:iCs w:val="0"/>
                <w:color w:val="000000"/>
                <w:kern w:val="0"/>
                <w:sz w:val="20"/>
                <w:szCs w:val="20"/>
                <w:u w:val="none"/>
                <w:lang w:val="en-US" w:eastAsia="zh-CN" w:bidi="ar"/>
              </w:rPr>
              <w:t>98.77</w:t>
            </w:r>
          </w:p>
        </w:tc>
      </w:tr>
    </w:tbl>
    <w:p w14:paraId="1254C282">
      <w:pPr>
        <w:pageBreakBefore w:val="0"/>
        <w:widowControl w:val="0"/>
        <w:kinsoku/>
        <w:wordWrap/>
        <w:overflowPunct/>
        <w:topLinePunct w:val="0"/>
        <w:bidi w:val="0"/>
        <w:snapToGrid/>
        <w:spacing w:after="0" w:line="360" w:lineRule="auto"/>
        <w:ind w:firstLine="562" w:firstLineChars="200"/>
        <w:jc w:val="both"/>
        <w:rPr>
          <w:rFonts w:hint="default"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2）水肥一体化配套电源</w:t>
      </w:r>
    </w:p>
    <w:p w14:paraId="0C4CD1A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项目电源就近由附近村庄、水库或工矿场地接入，单价费用500米以内综合单价估算10万元/千米，500米以上综合单价估算25万元/公里。经估算项目水肥一体化配套接电费约7.00万元，具体费用如下：</w:t>
      </w:r>
    </w:p>
    <w:p w14:paraId="0A5D6B99">
      <w:pPr>
        <w:pStyle w:val="9"/>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楷体" w:hAnsi="楷体" w:eastAsia="楷体" w:cs="楷体"/>
          <w:b/>
          <w:bCs w:val="0"/>
          <w:kern w:val="0"/>
          <w:sz w:val="24"/>
          <w:szCs w:val="24"/>
          <w:lang w:val="en-US" w:eastAsia="zh-CN"/>
        </w:rPr>
      </w:pPr>
      <w:r>
        <w:rPr>
          <w:rFonts w:hint="eastAsia" w:ascii="楷体" w:hAnsi="楷体" w:eastAsia="楷体" w:cs="楷体"/>
          <w:b/>
          <w:bCs w:val="0"/>
          <w:kern w:val="0"/>
          <w:sz w:val="24"/>
          <w:szCs w:val="24"/>
          <w:lang w:val="en-US" w:eastAsia="zh-CN"/>
        </w:rPr>
        <w:t>表11-12 水肥一体化配套电源费用汇总表</w:t>
      </w:r>
    </w:p>
    <w:tbl>
      <w:tblPr>
        <w:tblStyle w:val="2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6"/>
        <w:gridCol w:w="2951"/>
        <w:gridCol w:w="1223"/>
        <w:gridCol w:w="1607"/>
        <w:gridCol w:w="1602"/>
      </w:tblGrid>
      <w:tr w14:paraId="12062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blHeader/>
          <w:jc w:val="center"/>
        </w:trPr>
        <w:tc>
          <w:tcPr>
            <w:tcW w:w="667" w:type="pct"/>
            <w:vAlign w:val="center"/>
          </w:tcPr>
          <w:p w14:paraId="0A4A628D">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kern w:val="0"/>
                <w:sz w:val="24"/>
                <w:szCs w:val="24"/>
                <w:u w:val="none"/>
                <w:lang w:val="en-US" w:eastAsia="zh-CN" w:bidi="ar"/>
              </w:rPr>
            </w:pPr>
            <w:r>
              <w:rPr>
                <w:rFonts w:hint="default" w:ascii="Arial Narrow" w:hAnsi="Arial Narrow" w:eastAsia="楷体" w:cs="Arial Narrow"/>
                <w:b/>
                <w:bCs/>
                <w:i w:val="0"/>
                <w:iCs w:val="0"/>
                <w:color w:val="000000"/>
                <w:kern w:val="0"/>
                <w:sz w:val="24"/>
                <w:szCs w:val="24"/>
                <w:u w:val="none"/>
                <w:lang w:val="en-US" w:eastAsia="zh-CN" w:bidi="ar"/>
              </w:rPr>
              <w:t>序号</w:t>
            </w:r>
          </w:p>
        </w:tc>
        <w:tc>
          <w:tcPr>
            <w:tcW w:w="1732" w:type="pct"/>
            <w:vAlign w:val="center"/>
          </w:tcPr>
          <w:p w14:paraId="4B867D8C">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kern w:val="0"/>
                <w:sz w:val="24"/>
                <w:szCs w:val="24"/>
                <w:u w:val="none"/>
                <w:lang w:val="en-US" w:eastAsia="zh-CN" w:bidi="ar"/>
              </w:rPr>
            </w:pPr>
            <w:r>
              <w:rPr>
                <w:rFonts w:hint="default" w:ascii="Arial Narrow" w:hAnsi="Arial Narrow" w:eastAsia="楷体" w:cs="Arial Narrow"/>
                <w:b/>
                <w:bCs/>
                <w:i w:val="0"/>
                <w:iCs w:val="0"/>
                <w:color w:val="000000"/>
                <w:kern w:val="0"/>
                <w:sz w:val="24"/>
                <w:szCs w:val="24"/>
                <w:u w:val="none"/>
                <w:lang w:val="en-US" w:eastAsia="zh-CN" w:bidi="ar"/>
              </w:rPr>
              <w:t>项目</w:t>
            </w:r>
          </w:p>
        </w:tc>
        <w:tc>
          <w:tcPr>
            <w:tcW w:w="718" w:type="pct"/>
            <w:vAlign w:val="center"/>
          </w:tcPr>
          <w:p w14:paraId="1B748C2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kern w:val="0"/>
                <w:sz w:val="24"/>
                <w:szCs w:val="24"/>
                <w:u w:val="none"/>
                <w:lang w:val="en-US" w:eastAsia="zh-CN" w:bidi="ar"/>
              </w:rPr>
            </w:pPr>
            <w:r>
              <w:rPr>
                <w:rFonts w:hint="default" w:ascii="Arial Narrow" w:hAnsi="Arial Narrow" w:eastAsia="楷体" w:cs="Arial Narrow"/>
                <w:b/>
                <w:bCs/>
                <w:i w:val="0"/>
                <w:iCs w:val="0"/>
                <w:color w:val="000000"/>
                <w:kern w:val="0"/>
                <w:sz w:val="24"/>
                <w:szCs w:val="24"/>
                <w:u w:val="none"/>
                <w:lang w:val="en-US" w:eastAsia="zh-CN" w:bidi="ar"/>
              </w:rPr>
              <w:t>单位</w:t>
            </w:r>
          </w:p>
        </w:tc>
        <w:tc>
          <w:tcPr>
            <w:tcW w:w="1603" w:type="dxa"/>
            <w:vAlign w:val="center"/>
          </w:tcPr>
          <w:p w14:paraId="145082A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kern w:val="0"/>
                <w:sz w:val="24"/>
                <w:szCs w:val="24"/>
                <w:u w:val="none"/>
                <w:lang w:val="en-US" w:eastAsia="zh-CN" w:bidi="ar"/>
              </w:rPr>
            </w:pPr>
            <w:r>
              <w:rPr>
                <w:rFonts w:hint="eastAsia" w:ascii="Arial Narrow" w:hAnsi="Arial Narrow" w:eastAsia="楷体" w:cs="Arial Narrow"/>
                <w:b/>
                <w:bCs/>
                <w:i w:val="0"/>
                <w:iCs w:val="0"/>
                <w:color w:val="000000"/>
                <w:kern w:val="0"/>
                <w:sz w:val="24"/>
                <w:szCs w:val="24"/>
                <w:u w:val="none"/>
                <w:lang w:val="en-US" w:eastAsia="zh-CN" w:bidi="ar"/>
              </w:rPr>
              <w:t>白石镇</w:t>
            </w:r>
          </w:p>
        </w:tc>
        <w:tc>
          <w:tcPr>
            <w:tcW w:w="940" w:type="pct"/>
            <w:vAlign w:val="center"/>
          </w:tcPr>
          <w:p w14:paraId="57EDE82B">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kern w:val="0"/>
                <w:sz w:val="24"/>
                <w:szCs w:val="24"/>
                <w:u w:val="none"/>
                <w:lang w:val="en-US" w:eastAsia="zh-CN" w:bidi="ar"/>
              </w:rPr>
            </w:pPr>
            <w:r>
              <w:rPr>
                <w:rFonts w:hint="default" w:ascii="Arial Narrow" w:hAnsi="Arial Narrow" w:eastAsia="楷体" w:cs="Arial Narrow"/>
                <w:b/>
                <w:bCs/>
                <w:i w:val="0"/>
                <w:iCs w:val="0"/>
                <w:color w:val="000000"/>
                <w:kern w:val="0"/>
                <w:sz w:val="24"/>
                <w:szCs w:val="24"/>
                <w:u w:val="none"/>
                <w:lang w:val="en-US" w:eastAsia="zh-CN" w:bidi="ar"/>
              </w:rPr>
              <w:t>合计</w:t>
            </w:r>
          </w:p>
        </w:tc>
      </w:tr>
      <w:tr w14:paraId="5F5AA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667" w:type="pct"/>
            <w:vAlign w:val="center"/>
          </w:tcPr>
          <w:p w14:paraId="415FB098">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i w:val="0"/>
                <w:iCs w:val="0"/>
                <w:color w:val="000000"/>
                <w:kern w:val="0"/>
                <w:sz w:val="24"/>
                <w:szCs w:val="24"/>
                <w:u w:val="none"/>
                <w:lang w:val="en-US" w:eastAsia="zh-CN" w:bidi="ar"/>
              </w:rPr>
            </w:pPr>
            <w:r>
              <w:rPr>
                <w:rFonts w:hint="default" w:ascii="Arial Narrow" w:hAnsi="Arial Narrow" w:eastAsia="楷体" w:cs="Arial Narrow"/>
                <w:i w:val="0"/>
                <w:iCs w:val="0"/>
                <w:color w:val="000000"/>
                <w:kern w:val="0"/>
                <w:sz w:val="24"/>
                <w:szCs w:val="24"/>
                <w:u w:val="none"/>
                <w:lang w:val="en-US" w:eastAsia="zh-CN" w:bidi="ar"/>
              </w:rPr>
              <w:t>1</w:t>
            </w:r>
          </w:p>
        </w:tc>
        <w:tc>
          <w:tcPr>
            <w:tcW w:w="1732" w:type="pct"/>
            <w:vAlign w:val="center"/>
          </w:tcPr>
          <w:p w14:paraId="038EF1B7">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i w:val="0"/>
                <w:iCs w:val="0"/>
                <w:color w:val="000000"/>
                <w:kern w:val="0"/>
                <w:sz w:val="24"/>
                <w:szCs w:val="24"/>
                <w:u w:val="none"/>
                <w:lang w:val="en-US" w:eastAsia="zh-CN" w:bidi="ar"/>
              </w:rPr>
            </w:pPr>
            <w:r>
              <w:rPr>
                <w:rFonts w:hint="default" w:ascii="Arial Narrow" w:hAnsi="Arial Narrow" w:eastAsia="楷体" w:cs="Arial Narrow"/>
                <w:i w:val="0"/>
                <w:iCs w:val="0"/>
                <w:color w:val="000000"/>
                <w:kern w:val="0"/>
                <w:sz w:val="24"/>
                <w:szCs w:val="24"/>
                <w:u w:val="none"/>
                <w:lang w:val="en-US" w:eastAsia="zh-CN" w:bidi="ar"/>
              </w:rPr>
              <w:t>500米内接线</w:t>
            </w:r>
          </w:p>
        </w:tc>
        <w:tc>
          <w:tcPr>
            <w:tcW w:w="718" w:type="pct"/>
            <w:vAlign w:val="center"/>
          </w:tcPr>
          <w:p w14:paraId="2409D3D5">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i w:val="0"/>
                <w:iCs w:val="0"/>
                <w:color w:val="000000"/>
                <w:kern w:val="0"/>
                <w:sz w:val="24"/>
                <w:szCs w:val="24"/>
                <w:u w:val="none"/>
                <w:lang w:val="en-US" w:eastAsia="zh-CN" w:bidi="ar"/>
              </w:rPr>
            </w:pPr>
            <w:r>
              <w:rPr>
                <w:rFonts w:hint="default" w:ascii="Arial Narrow" w:hAnsi="Arial Narrow" w:eastAsia="楷体" w:cs="Arial Narrow"/>
                <w:i w:val="0"/>
                <w:iCs w:val="0"/>
                <w:color w:val="000000"/>
                <w:kern w:val="0"/>
                <w:sz w:val="24"/>
                <w:szCs w:val="24"/>
                <w:u w:val="none"/>
                <w:lang w:val="en-US" w:eastAsia="zh-CN" w:bidi="ar"/>
              </w:rPr>
              <w:t>米</w:t>
            </w:r>
          </w:p>
        </w:tc>
        <w:tc>
          <w:tcPr>
            <w:tcW w:w="1603" w:type="dxa"/>
            <w:vAlign w:val="center"/>
          </w:tcPr>
          <w:p w14:paraId="5EED599F">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 w:cs="Arial Narrow"/>
                <w:i w:val="0"/>
                <w:iCs w:val="0"/>
                <w:color w:val="000000"/>
                <w:kern w:val="0"/>
                <w:sz w:val="24"/>
                <w:szCs w:val="24"/>
                <w:u w:val="none"/>
                <w:lang w:val="en-US" w:eastAsia="zh-CN" w:bidi="ar"/>
              </w:rPr>
            </w:pPr>
            <w:r>
              <w:rPr>
                <w:rFonts w:hint="default" w:ascii="Arial Narrow" w:hAnsi="Arial Narrow" w:eastAsia="楷体" w:cs="Arial Narrow"/>
                <w:i w:val="0"/>
                <w:iCs w:val="0"/>
                <w:color w:val="000000"/>
                <w:kern w:val="0"/>
                <w:sz w:val="24"/>
                <w:szCs w:val="24"/>
                <w:u w:val="none"/>
                <w:lang w:val="en-US" w:eastAsia="zh-CN" w:bidi="ar"/>
              </w:rPr>
              <w:t>700</w:t>
            </w:r>
          </w:p>
        </w:tc>
        <w:tc>
          <w:tcPr>
            <w:tcW w:w="1602" w:type="dxa"/>
            <w:vAlign w:val="center"/>
          </w:tcPr>
          <w:p w14:paraId="567A1FBE">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 w:cs="Arial Narrow"/>
                <w:i w:val="0"/>
                <w:iCs w:val="0"/>
                <w:color w:val="000000"/>
                <w:kern w:val="0"/>
                <w:sz w:val="24"/>
                <w:szCs w:val="24"/>
                <w:u w:val="none"/>
                <w:lang w:val="en-US" w:eastAsia="zh-CN" w:bidi="ar"/>
              </w:rPr>
            </w:pPr>
            <w:r>
              <w:rPr>
                <w:rFonts w:hint="default" w:ascii="Arial Narrow" w:hAnsi="Arial Narrow" w:eastAsia="楷体" w:cs="Arial Narrow"/>
                <w:i w:val="0"/>
                <w:iCs w:val="0"/>
                <w:color w:val="000000"/>
                <w:kern w:val="0"/>
                <w:sz w:val="24"/>
                <w:szCs w:val="24"/>
                <w:u w:val="none"/>
                <w:lang w:val="en-US" w:eastAsia="zh-CN" w:bidi="ar"/>
              </w:rPr>
              <w:t>700</w:t>
            </w:r>
          </w:p>
        </w:tc>
      </w:tr>
      <w:tr w14:paraId="70D86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667" w:type="pct"/>
            <w:vAlign w:val="center"/>
          </w:tcPr>
          <w:p w14:paraId="1D7C3C57">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i w:val="0"/>
                <w:iCs w:val="0"/>
                <w:color w:val="000000"/>
                <w:kern w:val="0"/>
                <w:sz w:val="24"/>
                <w:szCs w:val="24"/>
                <w:u w:val="none"/>
                <w:lang w:val="en-US" w:eastAsia="zh-CN" w:bidi="ar"/>
              </w:rPr>
            </w:pPr>
            <w:r>
              <w:rPr>
                <w:rFonts w:hint="default" w:ascii="Arial Narrow" w:hAnsi="Arial Narrow" w:eastAsia="楷体" w:cs="Arial Narrow"/>
                <w:i w:val="0"/>
                <w:iCs w:val="0"/>
                <w:color w:val="000000"/>
                <w:kern w:val="0"/>
                <w:sz w:val="24"/>
                <w:szCs w:val="24"/>
                <w:u w:val="none"/>
                <w:lang w:val="en-US" w:eastAsia="zh-CN" w:bidi="ar"/>
              </w:rPr>
              <w:t>2</w:t>
            </w:r>
          </w:p>
        </w:tc>
        <w:tc>
          <w:tcPr>
            <w:tcW w:w="1732" w:type="pct"/>
            <w:vAlign w:val="center"/>
          </w:tcPr>
          <w:p w14:paraId="1B32A99C">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i w:val="0"/>
                <w:iCs w:val="0"/>
                <w:color w:val="000000"/>
                <w:kern w:val="0"/>
                <w:sz w:val="24"/>
                <w:szCs w:val="24"/>
                <w:u w:val="none"/>
                <w:lang w:val="en-US" w:eastAsia="zh-CN" w:bidi="ar"/>
              </w:rPr>
            </w:pPr>
            <w:r>
              <w:rPr>
                <w:rFonts w:hint="default" w:ascii="Arial Narrow" w:hAnsi="Arial Narrow" w:eastAsia="楷体" w:cs="Arial Narrow"/>
                <w:i w:val="0"/>
                <w:iCs w:val="0"/>
                <w:color w:val="000000"/>
                <w:kern w:val="0"/>
                <w:sz w:val="24"/>
                <w:szCs w:val="24"/>
                <w:u w:val="none"/>
                <w:lang w:val="en-US" w:eastAsia="zh-CN" w:bidi="ar"/>
              </w:rPr>
              <w:t>500米以上接线</w:t>
            </w:r>
          </w:p>
        </w:tc>
        <w:tc>
          <w:tcPr>
            <w:tcW w:w="718" w:type="pct"/>
            <w:vAlign w:val="center"/>
          </w:tcPr>
          <w:p w14:paraId="1CDC9CB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i w:val="0"/>
                <w:iCs w:val="0"/>
                <w:color w:val="000000"/>
                <w:kern w:val="0"/>
                <w:sz w:val="24"/>
                <w:szCs w:val="24"/>
                <w:u w:val="none"/>
                <w:lang w:val="en-US" w:eastAsia="zh-CN" w:bidi="ar"/>
              </w:rPr>
            </w:pPr>
            <w:r>
              <w:rPr>
                <w:rFonts w:hint="default" w:ascii="Arial Narrow" w:hAnsi="Arial Narrow" w:eastAsia="楷体" w:cs="Arial Narrow"/>
                <w:i w:val="0"/>
                <w:iCs w:val="0"/>
                <w:color w:val="000000"/>
                <w:kern w:val="0"/>
                <w:sz w:val="24"/>
                <w:szCs w:val="24"/>
                <w:u w:val="none"/>
                <w:lang w:val="en-US" w:eastAsia="zh-CN" w:bidi="ar"/>
              </w:rPr>
              <w:t>米</w:t>
            </w:r>
          </w:p>
        </w:tc>
        <w:tc>
          <w:tcPr>
            <w:tcW w:w="1603" w:type="dxa"/>
            <w:vAlign w:val="center"/>
          </w:tcPr>
          <w:p w14:paraId="2EA814A9">
            <w:pPr>
              <w:widowControl w:val="0"/>
              <w:jc w:val="center"/>
              <w:textAlignment w:val="center"/>
              <w:rPr>
                <w:rFonts w:hint="default" w:ascii="Arial Narrow" w:hAnsi="Arial Narrow" w:eastAsia="楷体" w:cs="Arial Narrow"/>
                <w:i w:val="0"/>
                <w:iCs w:val="0"/>
                <w:color w:val="000000"/>
                <w:kern w:val="0"/>
                <w:sz w:val="24"/>
                <w:szCs w:val="24"/>
                <w:u w:val="none"/>
                <w:lang w:val="en-US" w:eastAsia="zh-CN" w:bidi="ar"/>
              </w:rPr>
            </w:pPr>
          </w:p>
        </w:tc>
        <w:tc>
          <w:tcPr>
            <w:tcW w:w="1602" w:type="dxa"/>
            <w:vAlign w:val="center"/>
          </w:tcPr>
          <w:p w14:paraId="1FAF8975">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 w:cs="Arial Narrow"/>
                <w:i w:val="0"/>
                <w:iCs w:val="0"/>
                <w:color w:val="000000"/>
                <w:kern w:val="0"/>
                <w:sz w:val="24"/>
                <w:szCs w:val="24"/>
                <w:u w:val="none"/>
                <w:lang w:val="en-US" w:eastAsia="zh-CN" w:bidi="ar"/>
              </w:rPr>
            </w:pPr>
            <w:r>
              <w:rPr>
                <w:rFonts w:hint="default" w:ascii="Arial Narrow" w:hAnsi="Arial Narrow" w:eastAsia="楷体" w:cs="Arial Narrow"/>
                <w:i w:val="0"/>
                <w:iCs w:val="0"/>
                <w:color w:val="000000"/>
                <w:kern w:val="0"/>
                <w:sz w:val="24"/>
                <w:szCs w:val="24"/>
                <w:u w:val="none"/>
                <w:lang w:val="en-US" w:eastAsia="zh-CN" w:bidi="ar"/>
              </w:rPr>
              <w:t>0</w:t>
            </w:r>
          </w:p>
        </w:tc>
      </w:tr>
      <w:tr w14:paraId="4D6E1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667" w:type="pct"/>
            <w:vAlign w:val="center"/>
          </w:tcPr>
          <w:p w14:paraId="210A3FE5">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b w:val="0"/>
                <w:bCs w:val="0"/>
                <w:i w:val="0"/>
                <w:iCs w:val="0"/>
                <w:color w:val="000000"/>
                <w:kern w:val="0"/>
                <w:sz w:val="24"/>
                <w:szCs w:val="24"/>
                <w:u w:val="none"/>
                <w:lang w:val="en-US" w:eastAsia="zh-CN" w:bidi="ar"/>
              </w:rPr>
              <w:t>3</w:t>
            </w:r>
          </w:p>
        </w:tc>
        <w:tc>
          <w:tcPr>
            <w:tcW w:w="1732" w:type="pct"/>
            <w:vAlign w:val="center"/>
          </w:tcPr>
          <w:p w14:paraId="1A008645">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b w:val="0"/>
                <w:bCs w:val="0"/>
                <w:i w:val="0"/>
                <w:iCs w:val="0"/>
                <w:color w:val="000000"/>
                <w:kern w:val="0"/>
                <w:sz w:val="24"/>
                <w:szCs w:val="24"/>
                <w:u w:val="none"/>
                <w:lang w:val="en-US" w:eastAsia="zh-CN" w:bidi="ar"/>
              </w:rPr>
              <w:t>单价1</w:t>
            </w:r>
          </w:p>
        </w:tc>
        <w:tc>
          <w:tcPr>
            <w:tcW w:w="718" w:type="pct"/>
            <w:vAlign w:val="center"/>
          </w:tcPr>
          <w:p w14:paraId="7C8438C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b w:val="0"/>
                <w:bCs w:val="0"/>
                <w:i w:val="0"/>
                <w:iCs w:val="0"/>
                <w:color w:val="000000"/>
                <w:kern w:val="0"/>
                <w:sz w:val="24"/>
                <w:szCs w:val="24"/>
                <w:u w:val="none"/>
                <w:lang w:val="en-US" w:eastAsia="zh-CN" w:bidi="ar"/>
              </w:rPr>
              <w:t>元/米</w:t>
            </w:r>
          </w:p>
        </w:tc>
        <w:tc>
          <w:tcPr>
            <w:tcW w:w="1603" w:type="dxa"/>
            <w:vAlign w:val="center"/>
          </w:tcPr>
          <w:p w14:paraId="77A64DB1">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 w:cs="Arial Narrow"/>
                <w:i w:val="0"/>
                <w:iCs w:val="0"/>
                <w:color w:val="000000"/>
                <w:kern w:val="0"/>
                <w:sz w:val="24"/>
                <w:szCs w:val="24"/>
                <w:u w:val="none"/>
                <w:lang w:val="en-US" w:eastAsia="zh-CN" w:bidi="ar"/>
              </w:rPr>
            </w:pPr>
            <w:r>
              <w:rPr>
                <w:rFonts w:hint="default" w:ascii="Arial Narrow" w:hAnsi="Arial Narrow" w:eastAsia="楷体" w:cs="Arial Narrow"/>
                <w:i w:val="0"/>
                <w:iCs w:val="0"/>
                <w:color w:val="000000"/>
                <w:kern w:val="0"/>
                <w:sz w:val="24"/>
                <w:szCs w:val="24"/>
                <w:u w:val="none"/>
                <w:lang w:val="en-US" w:eastAsia="zh-CN" w:bidi="ar"/>
              </w:rPr>
              <w:t>100</w:t>
            </w:r>
          </w:p>
        </w:tc>
        <w:tc>
          <w:tcPr>
            <w:tcW w:w="1602" w:type="dxa"/>
            <w:vAlign w:val="center"/>
          </w:tcPr>
          <w:p w14:paraId="04871AA1">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 w:cs="Arial Narrow"/>
                <w:i w:val="0"/>
                <w:iCs w:val="0"/>
                <w:color w:val="000000"/>
                <w:kern w:val="0"/>
                <w:sz w:val="24"/>
                <w:szCs w:val="24"/>
                <w:u w:val="none"/>
                <w:lang w:val="en-US" w:eastAsia="zh-CN" w:bidi="ar"/>
              </w:rPr>
            </w:pPr>
            <w:r>
              <w:rPr>
                <w:rFonts w:hint="default" w:ascii="Arial Narrow" w:hAnsi="Arial Narrow" w:eastAsia="楷体" w:cs="Arial Narrow"/>
                <w:i w:val="0"/>
                <w:iCs w:val="0"/>
                <w:color w:val="000000"/>
                <w:kern w:val="0"/>
                <w:sz w:val="24"/>
                <w:szCs w:val="24"/>
                <w:u w:val="none"/>
                <w:lang w:val="en-US" w:eastAsia="zh-CN" w:bidi="ar"/>
              </w:rPr>
              <w:t>100</w:t>
            </w:r>
          </w:p>
        </w:tc>
      </w:tr>
      <w:tr w14:paraId="1F21E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667" w:type="pct"/>
            <w:vAlign w:val="center"/>
          </w:tcPr>
          <w:p w14:paraId="48140158">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b w:val="0"/>
                <w:bCs w:val="0"/>
                <w:i w:val="0"/>
                <w:iCs w:val="0"/>
                <w:color w:val="000000"/>
                <w:kern w:val="0"/>
                <w:sz w:val="24"/>
                <w:szCs w:val="24"/>
                <w:u w:val="none"/>
                <w:lang w:val="en-US" w:eastAsia="zh-CN" w:bidi="ar"/>
              </w:rPr>
              <w:t>4</w:t>
            </w:r>
          </w:p>
        </w:tc>
        <w:tc>
          <w:tcPr>
            <w:tcW w:w="1732" w:type="pct"/>
            <w:vAlign w:val="center"/>
          </w:tcPr>
          <w:p w14:paraId="68655B50">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b w:val="0"/>
                <w:bCs w:val="0"/>
                <w:i w:val="0"/>
                <w:iCs w:val="0"/>
                <w:color w:val="000000"/>
                <w:kern w:val="0"/>
                <w:sz w:val="24"/>
                <w:szCs w:val="24"/>
                <w:u w:val="none"/>
                <w:lang w:val="en-US" w:eastAsia="zh-CN" w:bidi="ar"/>
              </w:rPr>
              <w:t>单价2</w:t>
            </w:r>
          </w:p>
        </w:tc>
        <w:tc>
          <w:tcPr>
            <w:tcW w:w="718" w:type="pct"/>
            <w:vAlign w:val="center"/>
          </w:tcPr>
          <w:p w14:paraId="3244B119">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b w:val="0"/>
                <w:bCs w:val="0"/>
                <w:i w:val="0"/>
                <w:iCs w:val="0"/>
                <w:color w:val="000000"/>
                <w:kern w:val="0"/>
                <w:sz w:val="24"/>
                <w:szCs w:val="24"/>
                <w:u w:val="none"/>
                <w:lang w:val="en-US" w:eastAsia="zh-CN" w:bidi="ar"/>
              </w:rPr>
              <w:t>元/米</w:t>
            </w:r>
          </w:p>
        </w:tc>
        <w:tc>
          <w:tcPr>
            <w:tcW w:w="1603" w:type="dxa"/>
            <w:vAlign w:val="center"/>
          </w:tcPr>
          <w:p w14:paraId="015A4A6F">
            <w:pPr>
              <w:widowControl w:val="0"/>
              <w:jc w:val="center"/>
              <w:textAlignment w:val="center"/>
              <w:rPr>
                <w:rFonts w:hint="default" w:ascii="Arial Narrow" w:hAnsi="Arial Narrow" w:eastAsia="楷体" w:cs="Arial Narrow"/>
                <w:i w:val="0"/>
                <w:iCs w:val="0"/>
                <w:color w:val="000000"/>
                <w:kern w:val="0"/>
                <w:sz w:val="24"/>
                <w:szCs w:val="24"/>
                <w:u w:val="none"/>
                <w:lang w:val="en-US" w:eastAsia="zh-CN" w:bidi="ar"/>
              </w:rPr>
            </w:pPr>
          </w:p>
        </w:tc>
        <w:tc>
          <w:tcPr>
            <w:tcW w:w="1602" w:type="dxa"/>
            <w:vAlign w:val="center"/>
          </w:tcPr>
          <w:p w14:paraId="7638CB1E">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 w:cs="Arial Narrow"/>
                <w:i w:val="0"/>
                <w:iCs w:val="0"/>
                <w:color w:val="000000"/>
                <w:kern w:val="0"/>
                <w:sz w:val="24"/>
                <w:szCs w:val="24"/>
                <w:u w:val="none"/>
                <w:lang w:val="en-US" w:eastAsia="zh-CN" w:bidi="ar"/>
              </w:rPr>
            </w:pPr>
            <w:r>
              <w:rPr>
                <w:rFonts w:hint="default" w:ascii="Arial Narrow" w:hAnsi="Arial Narrow" w:eastAsia="楷体" w:cs="Arial Narrow"/>
                <w:i w:val="0"/>
                <w:iCs w:val="0"/>
                <w:color w:val="000000"/>
                <w:kern w:val="0"/>
                <w:sz w:val="24"/>
                <w:szCs w:val="24"/>
                <w:u w:val="none"/>
                <w:lang w:val="en-US" w:eastAsia="zh-CN" w:bidi="ar"/>
              </w:rPr>
              <w:t>0</w:t>
            </w:r>
          </w:p>
        </w:tc>
      </w:tr>
      <w:tr w14:paraId="00C8F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667" w:type="pct"/>
            <w:vAlign w:val="center"/>
          </w:tcPr>
          <w:p w14:paraId="1F8ED8CB">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b w:val="0"/>
                <w:bCs w:val="0"/>
                <w:i w:val="0"/>
                <w:iCs w:val="0"/>
                <w:color w:val="000000"/>
                <w:kern w:val="0"/>
                <w:sz w:val="24"/>
                <w:szCs w:val="24"/>
                <w:u w:val="none"/>
                <w:lang w:val="en-US" w:eastAsia="zh-CN" w:bidi="ar"/>
              </w:rPr>
              <w:t>5</w:t>
            </w:r>
          </w:p>
        </w:tc>
        <w:tc>
          <w:tcPr>
            <w:tcW w:w="1732" w:type="pct"/>
            <w:vAlign w:val="center"/>
          </w:tcPr>
          <w:p w14:paraId="57FA671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b w:val="0"/>
                <w:bCs w:val="0"/>
                <w:i w:val="0"/>
                <w:iCs w:val="0"/>
                <w:color w:val="000000"/>
                <w:kern w:val="0"/>
                <w:sz w:val="24"/>
                <w:szCs w:val="24"/>
                <w:u w:val="none"/>
                <w:lang w:val="en-US" w:eastAsia="zh-CN" w:bidi="ar"/>
              </w:rPr>
              <w:t>500米内接线</w:t>
            </w:r>
          </w:p>
        </w:tc>
        <w:tc>
          <w:tcPr>
            <w:tcW w:w="718" w:type="pct"/>
            <w:vAlign w:val="center"/>
          </w:tcPr>
          <w:p w14:paraId="6AA94668">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b w:val="0"/>
                <w:bCs w:val="0"/>
                <w:i w:val="0"/>
                <w:iCs w:val="0"/>
                <w:color w:val="000000"/>
                <w:kern w:val="0"/>
                <w:sz w:val="24"/>
                <w:szCs w:val="24"/>
                <w:u w:val="none"/>
                <w:lang w:val="en-US" w:eastAsia="zh-CN" w:bidi="ar"/>
              </w:rPr>
              <w:t>元</w:t>
            </w:r>
          </w:p>
        </w:tc>
        <w:tc>
          <w:tcPr>
            <w:tcW w:w="1603" w:type="dxa"/>
            <w:vAlign w:val="center"/>
          </w:tcPr>
          <w:p w14:paraId="53D44DE6">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i w:val="0"/>
                <w:iCs w:val="0"/>
                <w:color w:val="000000"/>
                <w:kern w:val="0"/>
                <w:sz w:val="24"/>
                <w:szCs w:val="24"/>
                <w:u w:val="none"/>
                <w:lang w:val="en-US" w:eastAsia="zh-CN" w:bidi="ar"/>
              </w:rPr>
              <w:t>70000</w:t>
            </w:r>
          </w:p>
        </w:tc>
        <w:tc>
          <w:tcPr>
            <w:tcW w:w="1602" w:type="dxa"/>
            <w:vAlign w:val="center"/>
          </w:tcPr>
          <w:p w14:paraId="0E0374E8">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i w:val="0"/>
                <w:iCs w:val="0"/>
                <w:color w:val="000000"/>
                <w:kern w:val="0"/>
                <w:sz w:val="24"/>
                <w:szCs w:val="24"/>
                <w:u w:val="none"/>
                <w:lang w:val="en-US" w:eastAsia="zh-CN" w:bidi="ar"/>
              </w:rPr>
              <w:t>70000</w:t>
            </w:r>
          </w:p>
        </w:tc>
      </w:tr>
      <w:tr w14:paraId="6804A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667" w:type="pct"/>
            <w:vAlign w:val="center"/>
          </w:tcPr>
          <w:p w14:paraId="067E57EC">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b w:val="0"/>
                <w:bCs w:val="0"/>
                <w:i w:val="0"/>
                <w:iCs w:val="0"/>
                <w:color w:val="000000"/>
                <w:kern w:val="0"/>
                <w:sz w:val="24"/>
                <w:szCs w:val="24"/>
                <w:u w:val="none"/>
                <w:lang w:val="en-US" w:eastAsia="zh-CN" w:bidi="ar"/>
              </w:rPr>
              <w:t>6</w:t>
            </w:r>
          </w:p>
        </w:tc>
        <w:tc>
          <w:tcPr>
            <w:tcW w:w="1732" w:type="pct"/>
            <w:vAlign w:val="center"/>
          </w:tcPr>
          <w:p w14:paraId="273E45A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b w:val="0"/>
                <w:bCs w:val="0"/>
                <w:i w:val="0"/>
                <w:iCs w:val="0"/>
                <w:color w:val="000000"/>
                <w:kern w:val="0"/>
                <w:sz w:val="24"/>
                <w:szCs w:val="24"/>
                <w:u w:val="none"/>
                <w:lang w:val="en-US" w:eastAsia="zh-CN" w:bidi="ar"/>
              </w:rPr>
              <w:t>500米以上接线</w:t>
            </w:r>
          </w:p>
        </w:tc>
        <w:tc>
          <w:tcPr>
            <w:tcW w:w="718" w:type="pct"/>
            <w:vAlign w:val="center"/>
          </w:tcPr>
          <w:p w14:paraId="3F1A92D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b w:val="0"/>
                <w:bCs w:val="0"/>
                <w:i w:val="0"/>
                <w:iCs w:val="0"/>
                <w:color w:val="000000"/>
                <w:kern w:val="0"/>
                <w:sz w:val="24"/>
                <w:szCs w:val="24"/>
                <w:u w:val="none"/>
                <w:lang w:val="en-US" w:eastAsia="zh-CN" w:bidi="ar"/>
              </w:rPr>
              <w:t>元</w:t>
            </w:r>
          </w:p>
        </w:tc>
        <w:tc>
          <w:tcPr>
            <w:tcW w:w="1603" w:type="dxa"/>
            <w:vAlign w:val="center"/>
          </w:tcPr>
          <w:p w14:paraId="6EB192E2">
            <w:pPr>
              <w:widowControl w:val="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p>
        </w:tc>
        <w:tc>
          <w:tcPr>
            <w:tcW w:w="1602" w:type="dxa"/>
            <w:vAlign w:val="center"/>
          </w:tcPr>
          <w:p w14:paraId="778CEF65">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i w:val="0"/>
                <w:iCs w:val="0"/>
                <w:color w:val="000000"/>
                <w:kern w:val="0"/>
                <w:sz w:val="24"/>
                <w:szCs w:val="24"/>
                <w:u w:val="none"/>
                <w:lang w:val="en-US" w:eastAsia="zh-CN" w:bidi="ar"/>
              </w:rPr>
              <w:t>0</w:t>
            </w:r>
          </w:p>
        </w:tc>
      </w:tr>
      <w:tr w14:paraId="60CD3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667" w:type="pct"/>
            <w:vAlign w:val="center"/>
          </w:tcPr>
          <w:p w14:paraId="3873861D">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b w:val="0"/>
                <w:bCs w:val="0"/>
                <w:i w:val="0"/>
                <w:iCs w:val="0"/>
                <w:color w:val="000000"/>
                <w:kern w:val="0"/>
                <w:sz w:val="24"/>
                <w:szCs w:val="24"/>
                <w:u w:val="none"/>
                <w:lang w:val="en-US" w:eastAsia="zh-CN" w:bidi="ar"/>
              </w:rPr>
              <w:t>7</w:t>
            </w:r>
          </w:p>
        </w:tc>
        <w:tc>
          <w:tcPr>
            <w:tcW w:w="1732" w:type="pct"/>
            <w:vAlign w:val="center"/>
          </w:tcPr>
          <w:p w14:paraId="2C5FC03C">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b w:val="0"/>
                <w:bCs w:val="0"/>
                <w:i w:val="0"/>
                <w:iCs w:val="0"/>
                <w:color w:val="000000"/>
                <w:kern w:val="0"/>
                <w:sz w:val="24"/>
                <w:szCs w:val="24"/>
                <w:u w:val="none"/>
                <w:lang w:val="en-US" w:eastAsia="zh-CN" w:bidi="ar"/>
              </w:rPr>
              <w:t>总投资</w:t>
            </w:r>
          </w:p>
        </w:tc>
        <w:tc>
          <w:tcPr>
            <w:tcW w:w="718" w:type="pct"/>
            <w:vAlign w:val="center"/>
          </w:tcPr>
          <w:p w14:paraId="21CB972E">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b w:val="0"/>
                <w:bCs w:val="0"/>
                <w:i w:val="0"/>
                <w:iCs w:val="0"/>
                <w:color w:val="000000"/>
                <w:kern w:val="0"/>
                <w:sz w:val="24"/>
                <w:szCs w:val="24"/>
                <w:u w:val="none"/>
                <w:lang w:val="en-US" w:eastAsia="zh-CN" w:bidi="ar"/>
              </w:rPr>
              <w:t>元</w:t>
            </w:r>
          </w:p>
        </w:tc>
        <w:tc>
          <w:tcPr>
            <w:tcW w:w="1603" w:type="dxa"/>
            <w:vAlign w:val="center"/>
          </w:tcPr>
          <w:p w14:paraId="15CFB190">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i w:val="0"/>
                <w:iCs w:val="0"/>
                <w:color w:val="000000"/>
                <w:kern w:val="0"/>
                <w:sz w:val="24"/>
                <w:szCs w:val="24"/>
                <w:u w:val="none"/>
                <w:lang w:val="en-US" w:eastAsia="zh-CN" w:bidi="ar"/>
              </w:rPr>
              <w:t>70000</w:t>
            </w:r>
          </w:p>
        </w:tc>
        <w:tc>
          <w:tcPr>
            <w:tcW w:w="1602" w:type="dxa"/>
            <w:vAlign w:val="center"/>
          </w:tcPr>
          <w:p w14:paraId="3695462B">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 w:cs="Arial Narrow"/>
                <w:b w:val="0"/>
                <w:bCs w:val="0"/>
                <w:i w:val="0"/>
                <w:iCs w:val="0"/>
                <w:color w:val="000000"/>
                <w:kern w:val="0"/>
                <w:sz w:val="24"/>
                <w:szCs w:val="24"/>
                <w:u w:val="none"/>
                <w:lang w:val="en-US" w:eastAsia="zh-CN" w:bidi="ar"/>
              </w:rPr>
            </w:pPr>
            <w:r>
              <w:rPr>
                <w:rFonts w:hint="default" w:ascii="Arial Narrow" w:hAnsi="Arial Narrow" w:eastAsia="楷体" w:cs="Arial Narrow"/>
                <w:i w:val="0"/>
                <w:iCs w:val="0"/>
                <w:color w:val="000000"/>
                <w:kern w:val="0"/>
                <w:sz w:val="24"/>
                <w:szCs w:val="24"/>
                <w:u w:val="none"/>
                <w:lang w:val="en-US" w:eastAsia="zh-CN" w:bidi="ar"/>
              </w:rPr>
              <w:t>70000</w:t>
            </w:r>
          </w:p>
        </w:tc>
      </w:tr>
    </w:tbl>
    <w:p w14:paraId="7C7BDD02">
      <w:pPr>
        <w:pageBreakBefore w:val="0"/>
        <w:widowControl w:val="0"/>
        <w:kinsoku/>
        <w:wordWrap/>
        <w:overflowPunct/>
        <w:topLinePunct w:val="0"/>
        <w:bidi w:val="0"/>
        <w:snapToGrid/>
        <w:spacing w:after="0" w:line="360" w:lineRule="auto"/>
        <w:ind w:firstLine="562" w:firstLineChars="200"/>
        <w:jc w:val="both"/>
        <w:rPr>
          <w:rFonts w:hint="default"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3）水肥一体化电费</w:t>
      </w:r>
    </w:p>
    <w:p w14:paraId="6D94DAA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项目共1套设备，设备运行1天（10小时）耗电量约400kw</w:t>
      </w:r>
      <w:r>
        <w:rPr>
          <w:rFonts w:hint="eastAsia" w:ascii="仿宋" w:hAnsi="仿宋" w:eastAsia="仿宋" w:cs="仿宋"/>
          <w:bCs/>
          <w:kern w:val="0"/>
          <w:sz w:val="28"/>
          <w:szCs w:val="28"/>
          <w:lang w:val="en-US" w:eastAsia="zh-CN"/>
        </w:rPr>
        <w:t>˙</w:t>
      </w:r>
      <w:r>
        <w:rPr>
          <w:rFonts w:hint="eastAsia" w:ascii="Times New Roman" w:hAnsi="Times New Roman" w:eastAsia="仿宋_GB2312" w:cs="Times New Roman"/>
          <w:bCs/>
          <w:kern w:val="0"/>
          <w:sz w:val="28"/>
          <w:szCs w:val="28"/>
          <w:lang w:val="en-US" w:eastAsia="zh-CN"/>
        </w:rPr>
        <w:t>h，项目每次灌水（肥）需2天，耗电量约21600kw</w:t>
      </w:r>
      <w:r>
        <w:rPr>
          <w:rFonts w:hint="eastAsia" w:ascii="仿宋" w:hAnsi="仿宋" w:eastAsia="仿宋" w:cs="仿宋"/>
          <w:bCs/>
          <w:kern w:val="0"/>
          <w:sz w:val="28"/>
          <w:szCs w:val="28"/>
          <w:lang w:val="en-US" w:eastAsia="zh-CN"/>
        </w:rPr>
        <w:t>˙</w:t>
      </w:r>
      <w:r>
        <w:rPr>
          <w:rFonts w:hint="eastAsia" w:ascii="Times New Roman" w:hAnsi="Times New Roman" w:eastAsia="仿宋_GB2312" w:cs="Times New Roman"/>
          <w:bCs/>
          <w:kern w:val="0"/>
          <w:sz w:val="28"/>
          <w:szCs w:val="28"/>
          <w:lang w:val="en-US" w:eastAsia="zh-CN"/>
        </w:rPr>
        <w:t>h，按农业用电阶梯最高价1.109元/kW</w:t>
      </w:r>
      <w:r>
        <w:rPr>
          <w:rFonts w:hint="eastAsia" w:ascii="仿宋" w:hAnsi="仿宋" w:eastAsia="仿宋" w:cs="仿宋"/>
          <w:bCs/>
          <w:kern w:val="0"/>
          <w:sz w:val="28"/>
          <w:szCs w:val="28"/>
          <w:lang w:val="en-US" w:eastAsia="zh-CN"/>
        </w:rPr>
        <w:t>˙</w:t>
      </w:r>
      <w:r>
        <w:rPr>
          <w:rFonts w:hint="eastAsia" w:ascii="Times New Roman" w:hAnsi="Times New Roman" w:eastAsia="仿宋_GB2312" w:cs="Times New Roman"/>
          <w:bCs/>
          <w:kern w:val="0"/>
          <w:sz w:val="28"/>
          <w:szCs w:val="28"/>
          <w:lang w:val="en-US" w:eastAsia="zh-CN"/>
        </w:rPr>
        <w:t>h计算，平均3.08元/亩。按7-9月份，每月灌水（肥）2次计算，项目电费估算1.56万元，具体如下：</w:t>
      </w:r>
    </w:p>
    <w:p w14:paraId="2E82788E">
      <w:pPr>
        <w:pStyle w:val="9"/>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楷体" w:hAnsi="楷体" w:eastAsia="楷体" w:cs="楷体"/>
          <w:b/>
          <w:bCs w:val="0"/>
          <w:kern w:val="0"/>
          <w:sz w:val="24"/>
          <w:szCs w:val="24"/>
          <w:lang w:val="en-US" w:eastAsia="zh-CN"/>
        </w:rPr>
      </w:pPr>
      <w:r>
        <w:rPr>
          <w:rFonts w:hint="eastAsia" w:ascii="楷体" w:hAnsi="楷体" w:eastAsia="楷体" w:cs="楷体"/>
          <w:b/>
          <w:bCs w:val="0"/>
          <w:kern w:val="0"/>
          <w:sz w:val="24"/>
          <w:szCs w:val="24"/>
          <w:lang w:val="en-US" w:eastAsia="zh-CN"/>
        </w:rPr>
        <w:t>表11-13 水肥一体化电费估算汇总表</w:t>
      </w:r>
    </w:p>
    <w:tbl>
      <w:tblPr>
        <w:tblStyle w:val="2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0"/>
        <w:gridCol w:w="2610"/>
        <w:gridCol w:w="2042"/>
        <w:gridCol w:w="1478"/>
        <w:gridCol w:w="1289"/>
      </w:tblGrid>
      <w:tr w14:paraId="37700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645" w:type="pct"/>
          </w:tcPr>
          <w:p w14:paraId="559FF919">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序号</w:t>
            </w:r>
          </w:p>
        </w:tc>
        <w:tc>
          <w:tcPr>
            <w:tcW w:w="1531" w:type="pct"/>
          </w:tcPr>
          <w:p w14:paraId="76577674">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项目</w:t>
            </w:r>
          </w:p>
        </w:tc>
        <w:tc>
          <w:tcPr>
            <w:tcW w:w="1198" w:type="pct"/>
            <w:vAlign w:val="center"/>
          </w:tcPr>
          <w:p w14:paraId="3206C0A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单位</w:t>
            </w:r>
          </w:p>
        </w:tc>
        <w:tc>
          <w:tcPr>
            <w:tcW w:w="867" w:type="pct"/>
            <w:vAlign w:val="center"/>
          </w:tcPr>
          <w:p w14:paraId="6CB34E69">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白石镇</w:t>
            </w:r>
          </w:p>
        </w:tc>
        <w:tc>
          <w:tcPr>
            <w:tcW w:w="756" w:type="pct"/>
            <w:vAlign w:val="center"/>
          </w:tcPr>
          <w:p w14:paraId="4F0E2CFB">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合计</w:t>
            </w:r>
          </w:p>
        </w:tc>
      </w:tr>
      <w:tr w14:paraId="68F4C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5" w:type="pct"/>
          </w:tcPr>
          <w:p w14:paraId="0E41777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1</w:t>
            </w:r>
          </w:p>
        </w:tc>
        <w:tc>
          <w:tcPr>
            <w:tcW w:w="1531" w:type="pct"/>
          </w:tcPr>
          <w:p w14:paraId="67051FDD">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灌溉面积</w:t>
            </w:r>
          </w:p>
        </w:tc>
        <w:tc>
          <w:tcPr>
            <w:tcW w:w="1198" w:type="pct"/>
            <w:vAlign w:val="bottom"/>
          </w:tcPr>
          <w:p w14:paraId="70230CC6">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亩</w:t>
            </w:r>
          </w:p>
        </w:tc>
        <w:tc>
          <w:tcPr>
            <w:tcW w:w="1478" w:type="dxa"/>
            <w:vAlign w:val="center"/>
          </w:tcPr>
          <w:p w14:paraId="4D2FD26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774.9</w:t>
            </w:r>
          </w:p>
        </w:tc>
        <w:tc>
          <w:tcPr>
            <w:tcW w:w="1289" w:type="dxa"/>
            <w:vAlign w:val="center"/>
          </w:tcPr>
          <w:p w14:paraId="5B5C22B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774.9</w:t>
            </w:r>
          </w:p>
        </w:tc>
      </w:tr>
      <w:tr w14:paraId="39195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5" w:type="pct"/>
            <w:vAlign w:val="top"/>
          </w:tcPr>
          <w:p w14:paraId="25FDC9E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2</w:t>
            </w:r>
          </w:p>
        </w:tc>
        <w:tc>
          <w:tcPr>
            <w:tcW w:w="1531" w:type="pct"/>
          </w:tcPr>
          <w:p w14:paraId="306E114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灌溉次数</w:t>
            </w:r>
          </w:p>
        </w:tc>
        <w:tc>
          <w:tcPr>
            <w:tcW w:w="1198" w:type="pct"/>
          </w:tcPr>
          <w:p w14:paraId="6AB7640B">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次</w:t>
            </w:r>
          </w:p>
        </w:tc>
        <w:tc>
          <w:tcPr>
            <w:tcW w:w="1478" w:type="dxa"/>
            <w:vAlign w:val="center"/>
          </w:tcPr>
          <w:p w14:paraId="33007961">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6</w:t>
            </w:r>
          </w:p>
        </w:tc>
        <w:tc>
          <w:tcPr>
            <w:tcW w:w="1289" w:type="dxa"/>
            <w:vAlign w:val="center"/>
          </w:tcPr>
          <w:p w14:paraId="2944A66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6</w:t>
            </w:r>
          </w:p>
        </w:tc>
      </w:tr>
      <w:tr w14:paraId="2BBDD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5" w:type="pct"/>
            <w:vAlign w:val="top"/>
          </w:tcPr>
          <w:p w14:paraId="3F6E6B7D">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3</w:t>
            </w:r>
          </w:p>
        </w:tc>
        <w:tc>
          <w:tcPr>
            <w:tcW w:w="1531" w:type="pct"/>
          </w:tcPr>
          <w:p w14:paraId="280A7F03">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灌溉单价</w:t>
            </w:r>
          </w:p>
        </w:tc>
        <w:tc>
          <w:tcPr>
            <w:tcW w:w="1198" w:type="pct"/>
          </w:tcPr>
          <w:p w14:paraId="2AEB79B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元/亩</w:t>
            </w:r>
            <w:r>
              <w:rPr>
                <w:rFonts w:hint="eastAsia" w:ascii="仿宋" w:hAnsi="仿宋" w:eastAsia="仿宋" w:cs="仿宋"/>
                <w:i w:val="0"/>
                <w:iCs w:val="0"/>
                <w:color w:val="000000"/>
                <w:kern w:val="0"/>
                <w:sz w:val="24"/>
                <w:szCs w:val="24"/>
                <w:u w:val="none"/>
                <w:lang w:val="en-US" w:eastAsia="zh-CN" w:bidi="ar"/>
              </w:rPr>
              <w:t>˙</w:t>
            </w:r>
            <w:r>
              <w:rPr>
                <w:rFonts w:hint="eastAsia" w:ascii="楷体" w:hAnsi="楷体" w:eastAsia="楷体" w:cs="楷体"/>
                <w:i w:val="0"/>
                <w:iCs w:val="0"/>
                <w:color w:val="000000"/>
                <w:kern w:val="0"/>
                <w:sz w:val="24"/>
                <w:szCs w:val="24"/>
                <w:u w:val="none"/>
                <w:lang w:val="en-US" w:eastAsia="zh-CN" w:bidi="ar"/>
              </w:rPr>
              <w:t>次</w:t>
            </w:r>
          </w:p>
        </w:tc>
        <w:tc>
          <w:tcPr>
            <w:tcW w:w="1478" w:type="dxa"/>
            <w:vAlign w:val="center"/>
          </w:tcPr>
          <w:p w14:paraId="26DB7400">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3.08</w:t>
            </w:r>
          </w:p>
        </w:tc>
        <w:tc>
          <w:tcPr>
            <w:tcW w:w="1289" w:type="dxa"/>
            <w:vAlign w:val="center"/>
          </w:tcPr>
          <w:p w14:paraId="42827F7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3.08</w:t>
            </w:r>
          </w:p>
        </w:tc>
      </w:tr>
      <w:tr w14:paraId="7C475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5" w:type="pct"/>
            <w:vAlign w:val="top"/>
          </w:tcPr>
          <w:p w14:paraId="3572CC56">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4</w:t>
            </w:r>
          </w:p>
        </w:tc>
        <w:tc>
          <w:tcPr>
            <w:tcW w:w="1531" w:type="pct"/>
          </w:tcPr>
          <w:p w14:paraId="7FC397D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电费</w:t>
            </w:r>
          </w:p>
        </w:tc>
        <w:tc>
          <w:tcPr>
            <w:tcW w:w="1198" w:type="pct"/>
          </w:tcPr>
          <w:p w14:paraId="7F7584D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元</w:t>
            </w:r>
          </w:p>
        </w:tc>
        <w:tc>
          <w:tcPr>
            <w:tcW w:w="1478" w:type="dxa"/>
            <w:vAlign w:val="center"/>
          </w:tcPr>
          <w:p w14:paraId="27EB944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14320</w:t>
            </w:r>
          </w:p>
        </w:tc>
        <w:tc>
          <w:tcPr>
            <w:tcW w:w="1289" w:type="dxa"/>
            <w:vAlign w:val="center"/>
          </w:tcPr>
          <w:p w14:paraId="7A1BC4AF">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14320</w:t>
            </w:r>
          </w:p>
        </w:tc>
      </w:tr>
      <w:tr w14:paraId="70B2B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5" w:type="pct"/>
            <w:vAlign w:val="top"/>
          </w:tcPr>
          <w:p w14:paraId="1BA9804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5</w:t>
            </w:r>
          </w:p>
        </w:tc>
        <w:tc>
          <w:tcPr>
            <w:tcW w:w="1531" w:type="pct"/>
          </w:tcPr>
          <w:p w14:paraId="31289E27">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增值税（9%）</w:t>
            </w:r>
          </w:p>
        </w:tc>
        <w:tc>
          <w:tcPr>
            <w:tcW w:w="1198" w:type="pct"/>
          </w:tcPr>
          <w:p w14:paraId="7FAB541E">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元</w:t>
            </w:r>
          </w:p>
        </w:tc>
        <w:tc>
          <w:tcPr>
            <w:tcW w:w="1478" w:type="dxa"/>
            <w:vAlign w:val="center"/>
          </w:tcPr>
          <w:p w14:paraId="7FB91DC7">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1289</w:t>
            </w:r>
          </w:p>
        </w:tc>
        <w:tc>
          <w:tcPr>
            <w:tcW w:w="1289" w:type="dxa"/>
            <w:vAlign w:val="center"/>
          </w:tcPr>
          <w:p w14:paraId="7F807689">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1289</w:t>
            </w:r>
          </w:p>
        </w:tc>
      </w:tr>
      <w:tr w14:paraId="02C93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5" w:type="pct"/>
            <w:vAlign w:val="top"/>
          </w:tcPr>
          <w:p w14:paraId="11C912E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6</w:t>
            </w:r>
          </w:p>
        </w:tc>
        <w:tc>
          <w:tcPr>
            <w:tcW w:w="1531" w:type="pct"/>
          </w:tcPr>
          <w:p w14:paraId="08D8515D">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总投资</w:t>
            </w:r>
          </w:p>
        </w:tc>
        <w:tc>
          <w:tcPr>
            <w:tcW w:w="1198" w:type="pct"/>
          </w:tcPr>
          <w:p w14:paraId="69336B8E">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楷体" w:hAnsi="楷体" w:eastAsia="楷体" w:cs="楷体"/>
                <w:b/>
                <w:bCs/>
                <w:i w:val="0"/>
                <w:iCs w:val="0"/>
                <w:color w:val="000000"/>
                <w:kern w:val="0"/>
                <w:sz w:val="24"/>
                <w:szCs w:val="24"/>
                <w:u w:val="none"/>
                <w:lang w:val="en-US" w:eastAsia="zh-CN" w:bidi="ar"/>
              </w:rPr>
            </w:pPr>
            <w:r>
              <w:rPr>
                <w:rFonts w:hint="eastAsia" w:ascii="楷体" w:hAnsi="楷体" w:eastAsia="楷体" w:cs="楷体"/>
                <w:b/>
                <w:bCs/>
                <w:i w:val="0"/>
                <w:iCs w:val="0"/>
                <w:color w:val="000000"/>
                <w:kern w:val="0"/>
                <w:sz w:val="24"/>
                <w:szCs w:val="24"/>
                <w:u w:val="none"/>
                <w:lang w:val="en-US" w:eastAsia="zh-CN" w:bidi="ar"/>
              </w:rPr>
              <w:t>元</w:t>
            </w:r>
          </w:p>
        </w:tc>
        <w:tc>
          <w:tcPr>
            <w:tcW w:w="1478" w:type="dxa"/>
            <w:vAlign w:val="center"/>
          </w:tcPr>
          <w:p w14:paraId="7D5BE054">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15609</w:t>
            </w:r>
          </w:p>
        </w:tc>
        <w:tc>
          <w:tcPr>
            <w:tcW w:w="1289" w:type="dxa"/>
            <w:vAlign w:val="center"/>
          </w:tcPr>
          <w:p w14:paraId="0B721D68">
            <w:pPr>
              <w:keepNext w:val="0"/>
              <w:keepLines w:val="0"/>
              <w:widowControl w:val="0"/>
              <w:suppressLineNumbers w:val="0"/>
              <w:spacing w:after="0" w:line="240" w:lineRule="auto"/>
              <w:ind w:firstLine="0" w:firstLineChars="0"/>
              <w:jc w:val="center"/>
              <w:textAlignment w:val="center"/>
              <w:rPr>
                <w:rFonts w:hint="eastAsia" w:ascii="楷体" w:hAnsi="楷体" w:eastAsia="楷体" w:cs="楷体"/>
                <w:b w:val="0"/>
                <w:bCs w:val="0"/>
                <w:i w:val="0"/>
                <w:iCs w:val="0"/>
                <w:color w:val="000000"/>
                <w:kern w:val="0"/>
                <w:sz w:val="24"/>
                <w:szCs w:val="24"/>
                <w:u w:val="none"/>
                <w:lang w:val="en-US" w:eastAsia="zh-CN" w:bidi="ar"/>
              </w:rPr>
            </w:pPr>
            <w:r>
              <w:rPr>
                <w:rFonts w:hint="eastAsia" w:ascii="楷体" w:hAnsi="楷体" w:eastAsia="楷体" w:cs="楷体"/>
                <w:i w:val="0"/>
                <w:iCs w:val="0"/>
                <w:color w:val="000000"/>
                <w:kern w:val="0"/>
                <w:sz w:val="24"/>
                <w:szCs w:val="24"/>
                <w:u w:val="none"/>
                <w:lang w:val="en-US" w:eastAsia="zh-CN" w:bidi="ar"/>
              </w:rPr>
              <w:t>15609</w:t>
            </w:r>
          </w:p>
        </w:tc>
      </w:tr>
    </w:tbl>
    <w:p w14:paraId="1638989E">
      <w:pPr>
        <w:pageBreakBefore w:val="0"/>
        <w:widowControl w:val="0"/>
        <w:kinsoku/>
        <w:wordWrap/>
        <w:overflowPunct/>
        <w:topLinePunct w:val="0"/>
        <w:bidi w:val="0"/>
        <w:snapToGrid/>
        <w:spacing w:after="0" w:line="360" w:lineRule="auto"/>
        <w:ind w:firstLine="562" w:firstLineChars="200"/>
        <w:jc w:val="both"/>
        <w:rPr>
          <w:rFonts w:hint="default"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4）作业道路</w:t>
      </w:r>
    </w:p>
    <w:p w14:paraId="3C089EED">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参考《浙江省营造林工程预算定额（2019 版）》，开作业道包括放线、挖土、填土、夯实、整平，计量单位为10米，人工开作业道，路基宽1.0m，二类土单位消耗量为0.325工日，路基宽2.0m，二类土单位消耗量为0.975工日。见下表：</w:t>
      </w:r>
    </w:p>
    <w:p w14:paraId="10D43885">
      <w:pPr>
        <w:pStyle w:val="9"/>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楷体" w:hAnsi="楷体" w:eastAsia="楷体" w:cs="楷体"/>
          <w:b/>
          <w:bCs w:val="0"/>
          <w:kern w:val="0"/>
          <w:sz w:val="24"/>
          <w:szCs w:val="24"/>
          <w:lang w:val="en-US" w:eastAsia="zh-CN"/>
        </w:rPr>
      </w:pPr>
      <w:r>
        <w:rPr>
          <w:rFonts w:hint="eastAsia" w:ascii="楷体" w:hAnsi="楷体" w:eastAsia="楷体" w:cs="楷体"/>
          <w:b/>
          <w:bCs w:val="0"/>
          <w:kern w:val="0"/>
          <w:sz w:val="24"/>
          <w:szCs w:val="24"/>
          <w:lang w:val="en-US" w:eastAsia="zh-CN"/>
        </w:rPr>
        <w:t>表11-14 作业道路概算表</w:t>
      </w:r>
    </w:p>
    <w:tbl>
      <w:tblPr>
        <w:tblStyle w:val="20"/>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62"/>
        <w:gridCol w:w="2902"/>
        <w:gridCol w:w="663"/>
        <w:gridCol w:w="988"/>
        <w:gridCol w:w="1762"/>
        <w:gridCol w:w="1540"/>
      </w:tblGrid>
      <w:tr w14:paraId="6B88D6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3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95339">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eastAsia" w:ascii="楷体" w:hAnsi="楷体" w:eastAsia="楷体" w:cs="楷体"/>
                <w:b/>
                <w:bCs/>
                <w:i w:val="0"/>
                <w:iCs w:val="0"/>
                <w:color w:val="000000"/>
                <w:kern w:val="0"/>
                <w:sz w:val="21"/>
                <w:szCs w:val="21"/>
                <w:u w:val="none"/>
                <w:lang w:val="en-US" w:eastAsia="zh-CN" w:bidi="ar"/>
              </w:rPr>
            </w:pPr>
            <w:r>
              <w:rPr>
                <w:rFonts w:hint="eastAsia" w:ascii="楷体" w:hAnsi="楷体" w:eastAsia="楷体" w:cs="楷体"/>
                <w:b/>
                <w:bCs/>
                <w:i w:val="0"/>
                <w:iCs w:val="0"/>
                <w:color w:val="000000"/>
                <w:kern w:val="0"/>
                <w:sz w:val="21"/>
                <w:szCs w:val="21"/>
                <w:u w:val="none"/>
                <w:lang w:val="en-US" w:eastAsia="zh-CN" w:bidi="ar"/>
              </w:rPr>
              <w:t>序号</w:t>
            </w:r>
          </w:p>
        </w:tc>
        <w:tc>
          <w:tcPr>
            <w:tcW w:w="17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34580">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eastAsia" w:ascii="楷体" w:hAnsi="楷体" w:eastAsia="楷体" w:cs="楷体"/>
                <w:b/>
                <w:bCs/>
                <w:i w:val="0"/>
                <w:iCs w:val="0"/>
                <w:color w:val="000000"/>
                <w:kern w:val="0"/>
                <w:sz w:val="21"/>
                <w:szCs w:val="21"/>
                <w:u w:val="none"/>
                <w:lang w:val="en-US" w:eastAsia="zh-CN" w:bidi="ar"/>
              </w:rPr>
            </w:pPr>
            <w:r>
              <w:rPr>
                <w:rFonts w:hint="eastAsia" w:ascii="楷体" w:hAnsi="楷体" w:eastAsia="楷体" w:cs="楷体"/>
                <w:b/>
                <w:bCs/>
                <w:i w:val="0"/>
                <w:iCs w:val="0"/>
                <w:color w:val="000000"/>
                <w:kern w:val="0"/>
                <w:sz w:val="21"/>
                <w:szCs w:val="21"/>
                <w:u w:val="none"/>
                <w:lang w:val="en-US" w:eastAsia="zh-CN" w:bidi="ar"/>
              </w:rPr>
              <w:t>名称</w:t>
            </w:r>
          </w:p>
        </w:tc>
        <w:tc>
          <w:tcPr>
            <w:tcW w:w="3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2C67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eastAsia" w:ascii="楷体" w:hAnsi="楷体" w:eastAsia="楷体" w:cs="楷体"/>
                <w:b/>
                <w:bCs/>
                <w:i w:val="0"/>
                <w:iCs w:val="0"/>
                <w:color w:val="000000"/>
                <w:kern w:val="0"/>
                <w:sz w:val="21"/>
                <w:szCs w:val="21"/>
                <w:u w:val="none"/>
                <w:lang w:val="en-US" w:eastAsia="zh-CN" w:bidi="ar"/>
              </w:rPr>
            </w:pPr>
            <w:r>
              <w:rPr>
                <w:rFonts w:hint="eastAsia" w:ascii="楷体" w:hAnsi="楷体" w:eastAsia="楷体" w:cs="楷体"/>
                <w:b/>
                <w:bCs/>
                <w:i w:val="0"/>
                <w:iCs w:val="0"/>
                <w:color w:val="000000"/>
                <w:kern w:val="0"/>
                <w:sz w:val="21"/>
                <w:szCs w:val="21"/>
                <w:u w:val="none"/>
                <w:lang w:val="en-US" w:eastAsia="zh-CN" w:bidi="ar"/>
              </w:rPr>
              <w:t>单位</w:t>
            </w:r>
          </w:p>
        </w:tc>
        <w:tc>
          <w:tcPr>
            <w:tcW w:w="58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82256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eastAsia" w:ascii="楷体" w:hAnsi="楷体" w:eastAsia="楷体" w:cs="楷体"/>
                <w:b/>
                <w:bCs/>
                <w:i w:val="0"/>
                <w:iCs w:val="0"/>
                <w:color w:val="000000"/>
                <w:kern w:val="0"/>
                <w:sz w:val="21"/>
                <w:szCs w:val="21"/>
                <w:u w:val="none"/>
                <w:lang w:val="en-US" w:eastAsia="zh-CN" w:bidi="ar"/>
              </w:rPr>
            </w:pPr>
            <w:r>
              <w:rPr>
                <w:rFonts w:hint="eastAsia" w:ascii="楷体" w:hAnsi="楷体" w:eastAsia="楷体" w:cs="楷体"/>
                <w:b/>
                <w:bCs/>
                <w:i w:val="0"/>
                <w:iCs w:val="0"/>
                <w:color w:val="000000"/>
                <w:kern w:val="0"/>
                <w:sz w:val="21"/>
                <w:szCs w:val="21"/>
                <w:u w:val="none"/>
                <w:lang w:val="en-US" w:eastAsia="zh-CN" w:bidi="ar"/>
              </w:rPr>
              <w:t>工程量</w:t>
            </w:r>
          </w:p>
        </w:tc>
        <w:tc>
          <w:tcPr>
            <w:tcW w:w="10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5426C">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eastAsia" w:ascii="楷体" w:hAnsi="楷体" w:eastAsia="楷体" w:cs="楷体"/>
                <w:b/>
                <w:bCs/>
                <w:i w:val="0"/>
                <w:iCs w:val="0"/>
                <w:color w:val="000000"/>
                <w:kern w:val="0"/>
                <w:sz w:val="21"/>
                <w:szCs w:val="21"/>
                <w:u w:val="none"/>
                <w:lang w:val="en-US" w:eastAsia="zh-CN" w:bidi="ar"/>
              </w:rPr>
            </w:pPr>
            <w:r>
              <w:rPr>
                <w:rFonts w:hint="eastAsia" w:ascii="楷体" w:hAnsi="楷体" w:eastAsia="楷体" w:cs="楷体"/>
                <w:b/>
                <w:bCs/>
                <w:i w:val="0"/>
                <w:iCs w:val="0"/>
                <w:color w:val="000000"/>
                <w:kern w:val="0"/>
                <w:sz w:val="21"/>
                <w:szCs w:val="21"/>
                <w:u w:val="none"/>
                <w:lang w:val="en-US" w:eastAsia="zh-CN" w:bidi="ar"/>
              </w:rPr>
              <w:t>综合单价（元）</w:t>
            </w:r>
          </w:p>
        </w:tc>
        <w:tc>
          <w:tcPr>
            <w:tcW w:w="9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F3C80">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eastAsia" w:ascii="楷体" w:hAnsi="楷体" w:eastAsia="楷体" w:cs="楷体"/>
                <w:b/>
                <w:bCs/>
                <w:i w:val="0"/>
                <w:iCs w:val="0"/>
                <w:color w:val="000000"/>
                <w:kern w:val="0"/>
                <w:sz w:val="21"/>
                <w:szCs w:val="21"/>
                <w:u w:val="none"/>
                <w:lang w:val="en-US" w:eastAsia="zh-CN" w:bidi="ar"/>
              </w:rPr>
            </w:pPr>
            <w:r>
              <w:rPr>
                <w:rFonts w:hint="eastAsia" w:ascii="楷体" w:hAnsi="楷体" w:eastAsia="楷体" w:cs="楷体"/>
                <w:b/>
                <w:bCs/>
                <w:i w:val="0"/>
                <w:iCs w:val="0"/>
                <w:color w:val="000000"/>
                <w:kern w:val="0"/>
                <w:sz w:val="21"/>
                <w:szCs w:val="21"/>
                <w:u w:val="none"/>
                <w:lang w:val="en-US" w:eastAsia="zh-CN" w:bidi="ar"/>
              </w:rPr>
              <w:t>合计（万元）</w:t>
            </w:r>
          </w:p>
        </w:tc>
      </w:tr>
      <w:tr w14:paraId="01463A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3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F9AD73">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eastAsia" w:ascii="楷体" w:hAnsi="楷体" w:eastAsia="楷体" w:cs="楷体"/>
                <w:i w:val="0"/>
                <w:iCs w:val="0"/>
                <w:color w:val="000000"/>
                <w:kern w:val="0"/>
                <w:sz w:val="21"/>
                <w:szCs w:val="21"/>
                <w:u w:val="none"/>
                <w:lang w:val="en-US" w:eastAsia="zh-CN" w:bidi="ar"/>
              </w:rPr>
            </w:pPr>
            <w:r>
              <w:rPr>
                <w:rFonts w:hint="eastAsia" w:ascii="楷体" w:hAnsi="楷体" w:eastAsia="楷体" w:cs="楷体"/>
                <w:i w:val="0"/>
                <w:iCs w:val="0"/>
                <w:color w:val="000000"/>
                <w:kern w:val="0"/>
                <w:sz w:val="21"/>
                <w:szCs w:val="21"/>
                <w:u w:val="none"/>
                <w:lang w:val="en-US" w:eastAsia="zh-CN" w:bidi="ar"/>
              </w:rPr>
              <w:t>1</w:t>
            </w:r>
          </w:p>
        </w:tc>
        <w:tc>
          <w:tcPr>
            <w:tcW w:w="17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3380A">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eastAsia" w:ascii="楷体" w:hAnsi="楷体" w:eastAsia="楷体" w:cs="楷体"/>
                <w:i w:val="0"/>
                <w:iCs w:val="0"/>
                <w:color w:val="000000"/>
                <w:kern w:val="0"/>
                <w:sz w:val="21"/>
                <w:szCs w:val="21"/>
                <w:u w:val="none"/>
                <w:lang w:val="en-US" w:eastAsia="zh-CN" w:bidi="ar"/>
              </w:rPr>
            </w:pPr>
            <w:r>
              <w:rPr>
                <w:rFonts w:hint="eastAsia" w:ascii="楷体" w:hAnsi="楷体" w:eastAsia="楷体" w:cs="楷体"/>
                <w:i w:val="0"/>
                <w:iCs w:val="0"/>
                <w:color w:val="000000"/>
                <w:kern w:val="0"/>
                <w:sz w:val="21"/>
                <w:szCs w:val="21"/>
                <w:u w:val="none"/>
                <w:lang w:val="en-US" w:eastAsia="zh-CN" w:bidi="ar"/>
              </w:rPr>
              <w:t>林区道路（宽1m）</w:t>
            </w:r>
          </w:p>
        </w:tc>
        <w:tc>
          <w:tcPr>
            <w:tcW w:w="3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703B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eastAsia" w:ascii="楷体" w:hAnsi="楷体" w:eastAsia="楷体" w:cs="楷体"/>
                <w:i w:val="0"/>
                <w:iCs w:val="0"/>
                <w:color w:val="000000"/>
                <w:kern w:val="0"/>
                <w:sz w:val="21"/>
                <w:szCs w:val="21"/>
                <w:u w:val="none"/>
                <w:lang w:val="en-US" w:eastAsia="zh-CN" w:bidi="ar"/>
              </w:rPr>
            </w:pPr>
            <w:r>
              <w:rPr>
                <w:rFonts w:hint="eastAsia" w:ascii="楷体" w:hAnsi="楷体" w:eastAsia="楷体" w:cs="楷体"/>
                <w:i w:val="0"/>
                <w:iCs w:val="0"/>
                <w:color w:val="000000"/>
                <w:kern w:val="0"/>
                <w:sz w:val="21"/>
                <w:szCs w:val="21"/>
                <w:u w:val="none"/>
                <w:lang w:val="en-US" w:eastAsia="zh-CN" w:bidi="ar"/>
              </w:rPr>
              <w:t>m</w:t>
            </w:r>
          </w:p>
        </w:tc>
        <w:tc>
          <w:tcPr>
            <w:tcW w:w="58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C189B4">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eastAsia" w:ascii="楷体" w:hAnsi="楷体" w:eastAsia="楷体" w:cs="楷体"/>
                <w:i w:val="0"/>
                <w:iCs w:val="0"/>
                <w:color w:val="000000"/>
                <w:kern w:val="0"/>
                <w:sz w:val="21"/>
                <w:szCs w:val="21"/>
                <w:u w:val="none"/>
                <w:lang w:val="en-US" w:eastAsia="zh-CN" w:bidi="ar"/>
              </w:rPr>
            </w:pPr>
            <w:r>
              <w:rPr>
                <w:rFonts w:hint="eastAsia" w:ascii="楷体" w:hAnsi="楷体" w:eastAsia="楷体" w:cs="楷体"/>
                <w:i w:val="0"/>
                <w:iCs w:val="0"/>
                <w:color w:val="000000"/>
                <w:kern w:val="0"/>
                <w:sz w:val="21"/>
                <w:szCs w:val="21"/>
                <w:u w:val="none"/>
                <w:lang w:val="en-US" w:eastAsia="zh-CN" w:bidi="ar"/>
              </w:rPr>
              <w:t>3381</w:t>
            </w:r>
          </w:p>
        </w:tc>
        <w:tc>
          <w:tcPr>
            <w:tcW w:w="1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874EE">
            <w:pPr>
              <w:keepNext w:val="0"/>
              <w:keepLines w:val="0"/>
              <w:widowControl w:val="0"/>
              <w:suppressLineNumbers w:val="0"/>
              <w:spacing w:after="0" w:line="240" w:lineRule="auto"/>
              <w:ind w:firstLine="0" w:firstLineChars="0"/>
              <w:jc w:val="center"/>
              <w:textAlignment w:val="bottom"/>
              <w:rPr>
                <w:rFonts w:hint="eastAsia" w:ascii="楷体" w:hAnsi="楷体" w:eastAsia="楷体" w:cs="楷体"/>
                <w:i w:val="0"/>
                <w:iCs w:val="0"/>
                <w:color w:val="000000"/>
                <w:kern w:val="0"/>
                <w:sz w:val="21"/>
                <w:szCs w:val="21"/>
                <w:u w:val="none"/>
                <w:lang w:val="en-US" w:eastAsia="zh-CN" w:bidi="ar"/>
              </w:rPr>
            </w:pPr>
            <w:r>
              <w:rPr>
                <w:rFonts w:hint="eastAsia" w:ascii="楷体" w:hAnsi="楷体" w:eastAsia="楷体" w:cs="楷体"/>
                <w:i w:val="0"/>
                <w:iCs w:val="0"/>
                <w:color w:val="000000"/>
                <w:kern w:val="0"/>
                <w:sz w:val="21"/>
                <w:szCs w:val="21"/>
                <w:u w:val="none"/>
                <w:lang w:val="en-US" w:eastAsia="zh-CN" w:bidi="ar"/>
              </w:rPr>
              <w:t>15</w:t>
            </w:r>
          </w:p>
        </w:tc>
        <w:tc>
          <w:tcPr>
            <w:tcW w:w="15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28A5F4">
            <w:pPr>
              <w:keepNext w:val="0"/>
              <w:keepLines w:val="0"/>
              <w:widowControl w:val="0"/>
              <w:suppressLineNumbers w:val="0"/>
              <w:spacing w:after="0" w:line="240" w:lineRule="auto"/>
              <w:ind w:firstLine="0" w:firstLineChars="0"/>
              <w:jc w:val="center"/>
              <w:textAlignment w:val="bottom"/>
              <w:rPr>
                <w:rFonts w:hint="eastAsia" w:ascii="楷体" w:hAnsi="楷体" w:eastAsia="楷体" w:cs="楷体"/>
                <w:i w:val="0"/>
                <w:iCs w:val="0"/>
                <w:color w:val="000000"/>
                <w:kern w:val="0"/>
                <w:sz w:val="21"/>
                <w:szCs w:val="21"/>
                <w:u w:val="none"/>
                <w:lang w:val="en-US" w:eastAsia="zh-CN" w:bidi="ar"/>
              </w:rPr>
            </w:pPr>
            <w:r>
              <w:rPr>
                <w:rFonts w:hint="eastAsia" w:ascii="楷体" w:hAnsi="楷体" w:eastAsia="楷体" w:cs="楷体"/>
                <w:i w:val="0"/>
                <w:iCs w:val="0"/>
                <w:color w:val="000000"/>
                <w:kern w:val="0"/>
                <w:sz w:val="21"/>
                <w:szCs w:val="21"/>
                <w:u w:val="none"/>
                <w:lang w:val="en-US" w:eastAsia="zh-CN" w:bidi="ar"/>
              </w:rPr>
              <w:t>5.07</w:t>
            </w:r>
          </w:p>
        </w:tc>
      </w:tr>
      <w:tr w14:paraId="1DDDBE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3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55828">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eastAsia" w:ascii="楷体" w:hAnsi="楷体" w:eastAsia="楷体" w:cs="楷体"/>
                <w:i w:val="0"/>
                <w:iCs w:val="0"/>
                <w:color w:val="000000"/>
                <w:kern w:val="0"/>
                <w:sz w:val="21"/>
                <w:szCs w:val="21"/>
                <w:u w:val="none"/>
                <w:lang w:val="en-US" w:eastAsia="zh-CN" w:bidi="ar"/>
              </w:rPr>
            </w:pPr>
            <w:r>
              <w:rPr>
                <w:rFonts w:hint="eastAsia" w:ascii="楷体" w:hAnsi="楷体" w:eastAsia="楷体" w:cs="楷体"/>
                <w:i w:val="0"/>
                <w:iCs w:val="0"/>
                <w:color w:val="000000"/>
                <w:kern w:val="0"/>
                <w:sz w:val="21"/>
                <w:szCs w:val="21"/>
                <w:u w:val="none"/>
                <w:lang w:val="en-US" w:eastAsia="zh-CN" w:bidi="ar"/>
              </w:rPr>
              <w:t>2</w:t>
            </w:r>
          </w:p>
        </w:tc>
        <w:tc>
          <w:tcPr>
            <w:tcW w:w="17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5832E">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eastAsia" w:ascii="楷体" w:hAnsi="楷体" w:eastAsia="楷体" w:cs="楷体"/>
                <w:i w:val="0"/>
                <w:iCs w:val="0"/>
                <w:color w:val="000000"/>
                <w:kern w:val="0"/>
                <w:sz w:val="21"/>
                <w:szCs w:val="21"/>
                <w:u w:val="none"/>
                <w:lang w:val="en-US" w:eastAsia="zh-CN" w:bidi="ar"/>
              </w:rPr>
            </w:pPr>
            <w:r>
              <w:rPr>
                <w:rFonts w:hint="eastAsia" w:ascii="楷体" w:hAnsi="楷体" w:eastAsia="楷体" w:cs="楷体"/>
                <w:i w:val="0"/>
                <w:iCs w:val="0"/>
                <w:color w:val="000000"/>
                <w:kern w:val="0"/>
                <w:sz w:val="21"/>
                <w:szCs w:val="21"/>
                <w:u w:val="none"/>
                <w:lang w:val="en-US" w:eastAsia="zh-CN" w:bidi="ar"/>
              </w:rPr>
              <w:t>林区道路（宽3m，含路肩）</w:t>
            </w:r>
          </w:p>
        </w:tc>
        <w:tc>
          <w:tcPr>
            <w:tcW w:w="3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CD5B0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eastAsia" w:ascii="楷体" w:hAnsi="楷体" w:eastAsia="楷体" w:cs="楷体"/>
                <w:i w:val="0"/>
                <w:iCs w:val="0"/>
                <w:color w:val="000000"/>
                <w:kern w:val="0"/>
                <w:sz w:val="21"/>
                <w:szCs w:val="21"/>
                <w:u w:val="none"/>
                <w:lang w:val="en-US" w:eastAsia="zh-CN" w:bidi="ar"/>
              </w:rPr>
            </w:pPr>
            <w:r>
              <w:rPr>
                <w:rFonts w:hint="eastAsia" w:ascii="楷体" w:hAnsi="楷体" w:eastAsia="楷体" w:cs="楷体"/>
                <w:i w:val="0"/>
                <w:iCs w:val="0"/>
                <w:color w:val="000000"/>
                <w:kern w:val="0"/>
                <w:sz w:val="21"/>
                <w:szCs w:val="21"/>
                <w:u w:val="none"/>
                <w:lang w:val="en-US" w:eastAsia="zh-CN" w:bidi="ar"/>
              </w:rPr>
              <w:t>m</w:t>
            </w:r>
          </w:p>
        </w:tc>
        <w:tc>
          <w:tcPr>
            <w:tcW w:w="58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A35857">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eastAsia" w:ascii="楷体" w:hAnsi="楷体" w:eastAsia="楷体" w:cs="楷体"/>
                <w:i w:val="0"/>
                <w:iCs w:val="0"/>
                <w:color w:val="000000"/>
                <w:kern w:val="0"/>
                <w:sz w:val="21"/>
                <w:szCs w:val="21"/>
                <w:u w:val="none"/>
                <w:lang w:val="en-US" w:eastAsia="zh-CN" w:bidi="ar"/>
              </w:rPr>
            </w:pPr>
            <w:r>
              <w:rPr>
                <w:rFonts w:hint="eastAsia" w:ascii="楷体" w:hAnsi="楷体" w:eastAsia="楷体" w:cs="楷体"/>
                <w:i w:val="0"/>
                <w:iCs w:val="0"/>
                <w:color w:val="000000"/>
                <w:kern w:val="0"/>
                <w:sz w:val="21"/>
                <w:szCs w:val="21"/>
                <w:u w:val="none"/>
                <w:lang w:val="en-US" w:eastAsia="zh-CN" w:bidi="ar"/>
              </w:rPr>
              <w:t>550</w:t>
            </w:r>
          </w:p>
        </w:tc>
        <w:tc>
          <w:tcPr>
            <w:tcW w:w="1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F1048">
            <w:pPr>
              <w:keepNext w:val="0"/>
              <w:keepLines w:val="0"/>
              <w:widowControl w:val="0"/>
              <w:suppressLineNumbers w:val="0"/>
              <w:spacing w:after="0" w:line="240" w:lineRule="auto"/>
              <w:ind w:firstLine="0" w:firstLineChars="0"/>
              <w:jc w:val="center"/>
              <w:textAlignment w:val="bottom"/>
              <w:rPr>
                <w:rFonts w:hint="eastAsia" w:ascii="楷体" w:hAnsi="楷体" w:eastAsia="楷体" w:cs="楷体"/>
                <w:i w:val="0"/>
                <w:iCs w:val="0"/>
                <w:color w:val="000000"/>
                <w:kern w:val="0"/>
                <w:sz w:val="21"/>
                <w:szCs w:val="21"/>
                <w:u w:val="none"/>
                <w:lang w:val="en-US" w:eastAsia="zh-CN" w:bidi="ar"/>
              </w:rPr>
            </w:pPr>
            <w:r>
              <w:rPr>
                <w:rFonts w:hint="eastAsia" w:ascii="楷体" w:hAnsi="楷体" w:eastAsia="楷体" w:cs="楷体"/>
                <w:i w:val="0"/>
                <w:iCs w:val="0"/>
                <w:color w:val="000000"/>
                <w:kern w:val="0"/>
                <w:sz w:val="21"/>
                <w:szCs w:val="21"/>
                <w:u w:val="none"/>
                <w:lang w:val="en-US" w:eastAsia="zh-CN" w:bidi="ar"/>
              </w:rPr>
              <w:t>30</w:t>
            </w:r>
          </w:p>
        </w:tc>
        <w:tc>
          <w:tcPr>
            <w:tcW w:w="15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7259A">
            <w:pPr>
              <w:keepNext w:val="0"/>
              <w:keepLines w:val="0"/>
              <w:widowControl w:val="0"/>
              <w:suppressLineNumbers w:val="0"/>
              <w:spacing w:after="0" w:line="240" w:lineRule="auto"/>
              <w:ind w:firstLine="0" w:firstLineChars="0"/>
              <w:jc w:val="center"/>
              <w:textAlignment w:val="bottom"/>
              <w:rPr>
                <w:rFonts w:hint="default" w:ascii="楷体" w:hAnsi="楷体" w:eastAsia="楷体" w:cs="楷体"/>
                <w:i w:val="0"/>
                <w:iCs w:val="0"/>
                <w:color w:val="000000"/>
                <w:kern w:val="0"/>
                <w:sz w:val="21"/>
                <w:szCs w:val="21"/>
                <w:u w:val="none"/>
                <w:lang w:val="en-US" w:eastAsia="zh-CN" w:bidi="ar"/>
              </w:rPr>
            </w:pPr>
            <w:r>
              <w:rPr>
                <w:rFonts w:hint="eastAsia" w:ascii="楷体" w:hAnsi="楷体" w:eastAsia="楷体" w:cs="楷体"/>
                <w:i w:val="0"/>
                <w:iCs w:val="0"/>
                <w:color w:val="000000"/>
                <w:kern w:val="0"/>
                <w:sz w:val="21"/>
                <w:szCs w:val="21"/>
                <w:u w:val="none"/>
                <w:lang w:val="en-US" w:eastAsia="zh-CN" w:bidi="ar"/>
              </w:rPr>
              <w:t>1.65</w:t>
            </w:r>
          </w:p>
        </w:tc>
      </w:tr>
      <w:tr w14:paraId="5F8930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3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A041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eastAsia" w:ascii="楷体" w:hAnsi="楷体" w:eastAsia="楷体" w:cs="楷体"/>
                <w:b/>
                <w:bCs/>
                <w:i w:val="0"/>
                <w:iCs w:val="0"/>
                <w:color w:val="000000"/>
                <w:kern w:val="0"/>
                <w:sz w:val="21"/>
                <w:szCs w:val="21"/>
                <w:u w:val="none"/>
                <w:lang w:val="en-US" w:eastAsia="zh-CN" w:bidi="ar"/>
              </w:rPr>
            </w:pPr>
            <w:r>
              <w:rPr>
                <w:rFonts w:hint="eastAsia" w:ascii="楷体" w:hAnsi="楷体" w:eastAsia="楷体" w:cs="楷体"/>
                <w:b/>
                <w:bCs/>
                <w:i w:val="0"/>
                <w:iCs w:val="0"/>
                <w:color w:val="000000"/>
                <w:kern w:val="0"/>
                <w:sz w:val="21"/>
                <w:szCs w:val="21"/>
                <w:u w:val="none"/>
                <w:lang w:val="en-US" w:eastAsia="zh-CN" w:bidi="ar"/>
              </w:rPr>
              <w:t>3</w:t>
            </w:r>
          </w:p>
        </w:tc>
        <w:tc>
          <w:tcPr>
            <w:tcW w:w="3706" w:type="pct"/>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7C5D49">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eastAsia" w:ascii="楷体" w:hAnsi="楷体" w:eastAsia="楷体" w:cs="楷体"/>
                <w:b/>
                <w:bCs/>
                <w:i w:val="0"/>
                <w:iCs w:val="0"/>
                <w:color w:val="000000"/>
                <w:kern w:val="0"/>
                <w:sz w:val="21"/>
                <w:szCs w:val="21"/>
                <w:u w:val="none"/>
                <w:lang w:val="en-US" w:eastAsia="zh-CN" w:bidi="ar"/>
              </w:rPr>
            </w:pPr>
            <w:r>
              <w:rPr>
                <w:rFonts w:hint="eastAsia" w:ascii="楷体" w:hAnsi="楷体" w:eastAsia="楷体" w:cs="楷体"/>
                <w:b/>
                <w:bCs/>
                <w:i w:val="0"/>
                <w:iCs w:val="0"/>
                <w:color w:val="000000"/>
                <w:kern w:val="0"/>
                <w:sz w:val="21"/>
                <w:szCs w:val="21"/>
                <w:u w:val="none"/>
                <w:lang w:val="en-US" w:eastAsia="zh-CN" w:bidi="ar"/>
              </w:rPr>
              <w:t>小计</w:t>
            </w:r>
          </w:p>
        </w:tc>
        <w:tc>
          <w:tcPr>
            <w:tcW w:w="9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9F46C">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bottom"/>
              <w:rPr>
                <w:rFonts w:hint="default" w:ascii="楷体" w:hAnsi="楷体" w:eastAsia="楷体" w:cs="楷体"/>
                <w:b/>
                <w:bCs/>
                <w:i w:val="0"/>
                <w:iCs w:val="0"/>
                <w:color w:val="000000"/>
                <w:kern w:val="0"/>
                <w:sz w:val="21"/>
                <w:szCs w:val="21"/>
                <w:u w:val="none"/>
                <w:lang w:val="en-US" w:eastAsia="zh-CN" w:bidi="ar"/>
              </w:rPr>
            </w:pPr>
            <w:r>
              <w:rPr>
                <w:rFonts w:hint="eastAsia" w:ascii="楷体" w:hAnsi="楷体" w:eastAsia="楷体" w:cs="楷体"/>
                <w:b/>
                <w:bCs/>
                <w:i w:val="0"/>
                <w:iCs w:val="0"/>
                <w:color w:val="000000"/>
                <w:kern w:val="0"/>
                <w:sz w:val="21"/>
                <w:szCs w:val="21"/>
                <w:u w:val="none"/>
                <w:lang w:val="en-US" w:eastAsia="zh-CN" w:bidi="ar"/>
              </w:rPr>
              <w:t>6.72</w:t>
            </w:r>
          </w:p>
        </w:tc>
      </w:tr>
    </w:tbl>
    <w:p w14:paraId="7F83EAB3">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default" w:ascii="黑体" w:hAnsi="黑体" w:cs="Times New Roman"/>
          <w:bCs w:val="0"/>
          <w:kern w:val="0"/>
          <w:sz w:val="32"/>
          <w:szCs w:val="32"/>
          <w:lang w:val="en-US" w:eastAsia="zh-CN"/>
        </w:rPr>
      </w:pPr>
      <w:bookmarkStart w:id="828" w:name="_Toc31208"/>
      <w:bookmarkStart w:id="829" w:name="_Toc3850"/>
      <w:r>
        <w:rPr>
          <w:rFonts w:hint="eastAsia" w:ascii="黑体" w:hAnsi="黑体" w:cs="Times New Roman"/>
          <w:bCs w:val="0"/>
          <w:kern w:val="0"/>
          <w:sz w:val="32"/>
          <w:szCs w:val="32"/>
          <w:lang w:val="en-US" w:eastAsia="zh-CN"/>
        </w:rPr>
        <w:t>11.2 资金筹措</w:t>
      </w:r>
      <w:bookmarkEnd w:id="828"/>
      <w:bookmarkEnd w:id="829"/>
    </w:p>
    <w:p w14:paraId="0C96C76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根据《浙江省衢州市油茶产业发展示范奖补项目实施方案》，中央财政补助主要用于高标准油茶林新造、低产低效林改造和水肥一体化设施，新造油茶补助0.2948万元/亩，低产低效油茶林改造补助0.1828万元/亩，水肥一体化补助0.1100万元/亩；省级财政补助主要用于高标准油茶林新造、低产低效油茶林改造，新造油茶补助0.1000万元/亩，低产低效油茶林改造补助0.0600万元/亩；自筹资金用于营造林和水肥一体化不足部分、作业道路等配套工程以及林地流转租赁、工程建设其他费用和工程预备费等。</w:t>
      </w:r>
    </w:p>
    <w:p w14:paraId="098D675E">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项目（第三批）白石镇片区投资概算668.87万元，其中申请中央财政补助313.68万元，省级财政补助77.49万元，自筹资金277.70万元。</w:t>
      </w:r>
    </w:p>
    <w:p w14:paraId="05A8C183">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楷体" w:hAnsi="楷体" w:eastAsia="楷体" w:cs="楷体"/>
          <w:b/>
          <w:bCs w:val="0"/>
          <w:kern w:val="0"/>
          <w:sz w:val="24"/>
          <w:szCs w:val="24"/>
          <w:lang w:val="en-US" w:eastAsia="zh-CN"/>
        </w:rPr>
      </w:pPr>
      <w:r>
        <w:rPr>
          <w:rFonts w:hint="eastAsia" w:ascii="楷体" w:hAnsi="楷体" w:eastAsia="楷体" w:cs="楷体"/>
          <w:b/>
          <w:bCs w:val="0"/>
          <w:kern w:val="0"/>
          <w:sz w:val="24"/>
          <w:szCs w:val="24"/>
          <w:lang w:val="en-US" w:eastAsia="zh-CN"/>
        </w:rPr>
        <w:t>表11-15 资金筹措明细表</w:t>
      </w:r>
    </w:p>
    <w:p w14:paraId="4EA67B76">
      <w:pPr>
        <w:pStyle w:val="9"/>
        <w:keepNext w:val="0"/>
        <w:keepLines w:val="0"/>
        <w:pageBreakBefore w:val="0"/>
        <w:widowControl w:val="0"/>
        <w:kinsoku/>
        <w:wordWrap/>
        <w:overflowPunct/>
        <w:topLinePunct w:val="0"/>
        <w:autoSpaceDE/>
        <w:autoSpaceDN/>
        <w:bidi w:val="0"/>
        <w:adjustRightInd/>
        <w:snapToGrid/>
        <w:spacing w:line="240" w:lineRule="auto"/>
        <w:ind w:firstLine="0" w:firstLineChars="0"/>
        <w:jc w:val="right"/>
        <w:textAlignment w:val="auto"/>
        <w:rPr>
          <w:rFonts w:hint="default" w:ascii="楷体" w:hAnsi="楷体" w:eastAsia="楷体" w:cs="楷体"/>
          <w:b w:val="0"/>
          <w:bCs/>
          <w:kern w:val="0"/>
          <w:sz w:val="21"/>
          <w:szCs w:val="21"/>
          <w:lang w:val="en-US" w:eastAsia="zh-CN"/>
        </w:rPr>
      </w:pPr>
      <w:r>
        <w:rPr>
          <w:rFonts w:hint="eastAsia" w:ascii="楷体" w:hAnsi="楷体" w:eastAsia="楷体" w:cs="楷体"/>
          <w:b w:val="0"/>
          <w:bCs/>
          <w:kern w:val="0"/>
          <w:sz w:val="21"/>
          <w:szCs w:val="21"/>
          <w:lang w:val="en-US" w:eastAsia="zh-CN"/>
        </w:rPr>
        <w:t>单位：亩、万元</w:t>
      </w:r>
    </w:p>
    <w:tbl>
      <w:tblPr>
        <w:tblStyle w:val="2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5"/>
        <w:gridCol w:w="3203"/>
        <w:gridCol w:w="868"/>
        <w:gridCol w:w="982"/>
        <w:gridCol w:w="868"/>
        <w:gridCol w:w="868"/>
        <w:gridCol w:w="985"/>
      </w:tblGrid>
      <w:tr w14:paraId="5F0B4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blHeader/>
        </w:trPr>
        <w:tc>
          <w:tcPr>
            <w:tcW w:w="437" w:type="pct"/>
            <w:vMerge w:val="restart"/>
            <w:vAlign w:val="center"/>
          </w:tcPr>
          <w:p w14:paraId="535EA59C">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100"/>
                <w:kern w:val="0"/>
                <w:sz w:val="21"/>
                <w:szCs w:val="21"/>
                <w:highlight w:val="none"/>
                <w:u w:val="none"/>
                <w:lang w:val="en-US" w:eastAsia="zh-CN" w:bidi="ar"/>
              </w:rPr>
            </w:pPr>
            <w:r>
              <w:rPr>
                <w:rFonts w:hint="eastAsia" w:ascii="Arial Narrow" w:hAnsi="Arial Narrow" w:eastAsia="楷体" w:cs="Arial Narrow"/>
                <w:b/>
                <w:bCs/>
                <w:i w:val="0"/>
                <w:iCs w:val="0"/>
                <w:color w:val="000000"/>
                <w:w w:val="100"/>
                <w:kern w:val="0"/>
                <w:sz w:val="21"/>
                <w:szCs w:val="21"/>
                <w:highlight w:val="none"/>
                <w:u w:val="none"/>
                <w:lang w:val="en-US" w:eastAsia="zh-CN" w:bidi="ar"/>
              </w:rPr>
              <w:t>序号</w:t>
            </w:r>
          </w:p>
        </w:tc>
        <w:tc>
          <w:tcPr>
            <w:tcW w:w="1879" w:type="pct"/>
            <w:vMerge w:val="restart"/>
            <w:vAlign w:val="center"/>
          </w:tcPr>
          <w:p w14:paraId="17D4C800">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100"/>
                <w:kern w:val="0"/>
                <w:sz w:val="21"/>
                <w:szCs w:val="21"/>
                <w:highlight w:val="none"/>
                <w:u w:val="none"/>
                <w:lang w:val="en-US" w:eastAsia="zh-CN" w:bidi="ar"/>
              </w:rPr>
            </w:pPr>
            <w:r>
              <w:rPr>
                <w:rFonts w:hint="eastAsia" w:ascii="Arial Narrow" w:hAnsi="Arial Narrow" w:eastAsia="楷体" w:cs="Arial Narrow"/>
                <w:b/>
                <w:bCs/>
                <w:i w:val="0"/>
                <w:iCs w:val="0"/>
                <w:color w:val="000000"/>
                <w:w w:val="100"/>
                <w:kern w:val="0"/>
                <w:sz w:val="21"/>
                <w:szCs w:val="21"/>
                <w:highlight w:val="none"/>
                <w:u w:val="none"/>
                <w:lang w:val="en-US" w:eastAsia="zh-CN" w:bidi="ar"/>
              </w:rPr>
              <w:t>建设内容</w:t>
            </w:r>
          </w:p>
        </w:tc>
        <w:tc>
          <w:tcPr>
            <w:tcW w:w="509" w:type="pct"/>
            <w:vMerge w:val="restart"/>
            <w:vAlign w:val="center"/>
          </w:tcPr>
          <w:p w14:paraId="2964997D">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bCs/>
                <w:i w:val="0"/>
                <w:iCs w:val="0"/>
                <w:color w:val="000000"/>
                <w:w w:val="100"/>
                <w:kern w:val="0"/>
                <w:sz w:val="21"/>
                <w:szCs w:val="21"/>
                <w:highlight w:val="none"/>
                <w:u w:val="none"/>
                <w:lang w:val="en-US" w:eastAsia="zh-CN" w:bidi="ar"/>
              </w:rPr>
            </w:pPr>
            <w:r>
              <w:rPr>
                <w:rFonts w:hint="eastAsia" w:ascii="Arial Narrow" w:hAnsi="Arial Narrow" w:eastAsia="楷体" w:cs="Arial Narrow"/>
                <w:b/>
                <w:bCs/>
                <w:i w:val="0"/>
                <w:iCs w:val="0"/>
                <w:color w:val="000000"/>
                <w:w w:val="100"/>
                <w:kern w:val="0"/>
                <w:sz w:val="21"/>
                <w:szCs w:val="21"/>
                <w:highlight w:val="none"/>
                <w:u w:val="none"/>
                <w:lang w:val="en-US" w:eastAsia="zh-CN" w:bidi="ar"/>
              </w:rPr>
              <w:t>建设</w:t>
            </w:r>
          </w:p>
          <w:p w14:paraId="39B588FE">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100"/>
                <w:kern w:val="0"/>
                <w:sz w:val="21"/>
                <w:szCs w:val="21"/>
                <w:highlight w:val="none"/>
                <w:u w:val="none"/>
                <w:lang w:val="en-US" w:eastAsia="zh-CN" w:bidi="ar"/>
              </w:rPr>
            </w:pPr>
            <w:r>
              <w:rPr>
                <w:rFonts w:hint="eastAsia" w:ascii="Arial Narrow" w:hAnsi="Arial Narrow" w:eastAsia="楷体" w:cs="Arial Narrow"/>
                <w:b/>
                <w:bCs/>
                <w:i w:val="0"/>
                <w:iCs w:val="0"/>
                <w:color w:val="000000"/>
                <w:w w:val="100"/>
                <w:kern w:val="0"/>
                <w:sz w:val="21"/>
                <w:szCs w:val="21"/>
                <w:highlight w:val="none"/>
                <w:u w:val="none"/>
                <w:lang w:val="en-US" w:eastAsia="zh-CN" w:bidi="ar"/>
              </w:rPr>
              <w:t>规模</w:t>
            </w:r>
          </w:p>
        </w:tc>
        <w:tc>
          <w:tcPr>
            <w:tcW w:w="576" w:type="pct"/>
            <w:vMerge w:val="restart"/>
            <w:vAlign w:val="center"/>
          </w:tcPr>
          <w:p w14:paraId="4135DB0D">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bCs/>
                <w:i w:val="0"/>
                <w:iCs w:val="0"/>
                <w:color w:val="000000"/>
                <w:w w:val="100"/>
                <w:kern w:val="0"/>
                <w:sz w:val="21"/>
                <w:szCs w:val="21"/>
                <w:highlight w:val="none"/>
                <w:u w:val="none"/>
                <w:lang w:val="en-US" w:eastAsia="zh-CN" w:bidi="ar"/>
              </w:rPr>
            </w:pPr>
            <w:r>
              <w:rPr>
                <w:rFonts w:hint="eastAsia" w:ascii="Arial Narrow" w:hAnsi="Arial Narrow" w:eastAsia="楷体" w:cs="Arial Narrow"/>
                <w:b/>
                <w:bCs/>
                <w:i w:val="0"/>
                <w:iCs w:val="0"/>
                <w:color w:val="000000"/>
                <w:w w:val="100"/>
                <w:kern w:val="0"/>
                <w:sz w:val="21"/>
                <w:szCs w:val="21"/>
                <w:highlight w:val="none"/>
                <w:u w:val="none"/>
                <w:lang w:val="en-US" w:eastAsia="zh-CN" w:bidi="ar"/>
              </w:rPr>
              <w:t>投资</w:t>
            </w:r>
          </w:p>
          <w:p w14:paraId="650FC569">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100"/>
                <w:kern w:val="0"/>
                <w:sz w:val="21"/>
                <w:szCs w:val="21"/>
                <w:highlight w:val="none"/>
                <w:u w:val="none"/>
                <w:lang w:val="en-US" w:eastAsia="zh-CN" w:bidi="ar"/>
              </w:rPr>
            </w:pPr>
            <w:r>
              <w:rPr>
                <w:rFonts w:hint="eastAsia" w:ascii="Arial Narrow" w:hAnsi="Arial Narrow" w:eastAsia="楷体" w:cs="Arial Narrow"/>
                <w:b/>
                <w:bCs/>
                <w:i w:val="0"/>
                <w:iCs w:val="0"/>
                <w:color w:val="000000"/>
                <w:w w:val="100"/>
                <w:kern w:val="0"/>
                <w:sz w:val="21"/>
                <w:szCs w:val="21"/>
                <w:highlight w:val="none"/>
                <w:u w:val="none"/>
                <w:lang w:val="en-US" w:eastAsia="zh-CN" w:bidi="ar"/>
              </w:rPr>
              <w:t>概算</w:t>
            </w:r>
          </w:p>
        </w:tc>
        <w:tc>
          <w:tcPr>
            <w:tcW w:w="1596" w:type="pct"/>
            <w:gridSpan w:val="3"/>
            <w:vAlign w:val="center"/>
          </w:tcPr>
          <w:p w14:paraId="1ABEEBBA">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100"/>
                <w:kern w:val="0"/>
                <w:sz w:val="21"/>
                <w:szCs w:val="21"/>
                <w:highlight w:val="none"/>
                <w:u w:val="none"/>
                <w:lang w:val="en-US" w:eastAsia="zh-CN" w:bidi="ar"/>
              </w:rPr>
            </w:pPr>
            <w:r>
              <w:rPr>
                <w:rFonts w:hint="eastAsia" w:ascii="Arial Narrow" w:hAnsi="Arial Narrow" w:eastAsia="楷体" w:cs="Arial Narrow"/>
                <w:b/>
                <w:bCs/>
                <w:i w:val="0"/>
                <w:iCs w:val="0"/>
                <w:color w:val="000000"/>
                <w:w w:val="100"/>
                <w:kern w:val="0"/>
                <w:sz w:val="21"/>
                <w:szCs w:val="21"/>
                <w:highlight w:val="none"/>
                <w:u w:val="none"/>
                <w:lang w:val="en-US" w:eastAsia="zh-CN" w:bidi="ar"/>
              </w:rPr>
              <w:t>资金筹措来源</w:t>
            </w:r>
          </w:p>
        </w:tc>
      </w:tr>
      <w:tr w14:paraId="47042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blHeader/>
        </w:trPr>
        <w:tc>
          <w:tcPr>
            <w:tcW w:w="437" w:type="pct"/>
            <w:vMerge w:val="continue"/>
            <w:vAlign w:val="center"/>
          </w:tcPr>
          <w:p w14:paraId="7FCC6F9C">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bCs/>
                <w:i w:val="0"/>
                <w:iCs w:val="0"/>
                <w:color w:val="000000"/>
                <w:w w:val="100"/>
                <w:kern w:val="0"/>
                <w:sz w:val="21"/>
                <w:szCs w:val="21"/>
                <w:highlight w:val="none"/>
                <w:u w:val="none"/>
                <w:lang w:val="en-US" w:eastAsia="zh-CN" w:bidi="ar"/>
              </w:rPr>
            </w:pPr>
          </w:p>
        </w:tc>
        <w:tc>
          <w:tcPr>
            <w:tcW w:w="1879" w:type="pct"/>
            <w:vMerge w:val="continue"/>
            <w:vAlign w:val="center"/>
          </w:tcPr>
          <w:p w14:paraId="33A34735">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bCs/>
                <w:i w:val="0"/>
                <w:iCs w:val="0"/>
                <w:color w:val="000000"/>
                <w:w w:val="100"/>
                <w:kern w:val="0"/>
                <w:sz w:val="21"/>
                <w:szCs w:val="21"/>
                <w:highlight w:val="none"/>
                <w:u w:val="none"/>
                <w:lang w:val="en-US" w:eastAsia="zh-CN" w:bidi="ar"/>
              </w:rPr>
            </w:pPr>
          </w:p>
        </w:tc>
        <w:tc>
          <w:tcPr>
            <w:tcW w:w="509" w:type="pct"/>
            <w:vMerge w:val="continue"/>
            <w:vAlign w:val="center"/>
          </w:tcPr>
          <w:p w14:paraId="65160DDD">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bCs/>
                <w:i w:val="0"/>
                <w:iCs w:val="0"/>
                <w:color w:val="000000"/>
                <w:w w:val="100"/>
                <w:kern w:val="0"/>
                <w:sz w:val="21"/>
                <w:szCs w:val="21"/>
                <w:highlight w:val="none"/>
                <w:u w:val="none"/>
                <w:lang w:val="en-US" w:eastAsia="zh-CN" w:bidi="ar"/>
              </w:rPr>
            </w:pPr>
          </w:p>
        </w:tc>
        <w:tc>
          <w:tcPr>
            <w:tcW w:w="576" w:type="pct"/>
            <w:vMerge w:val="continue"/>
            <w:vAlign w:val="center"/>
          </w:tcPr>
          <w:p w14:paraId="5A5F8A17">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bCs/>
                <w:i w:val="0"/>
                <w:iCs w:val="0"/>
                <w:color w:val="000000"/>
                <w:w w:val="100"/>
                <w:kern w:val="0"/>
                <w:sz w:val="21"/>
                <w:szCs w:val="21"/>
                <w:highlight w:val="none"/>
                <w:u w:val="none"/>
                <w:lang w:val="en-US" w:eastAsia="zh-CN" w:bidi="ar"/>
              </w:rPr>
            </w:pPr>
          </w:p>
        </w:tc>
        <w:tc>
          <w:tcPr>
            <w:tcW w:w="509" w:type="pct"/>
            <w:vAlign w:val="center"/>
          </w:tcPr>
          <w:p w14:paraId="034529B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100"/>
                <w:kern w:val="0"/>
                <w:sz w:val="21"/>
                <w:szCs w:val="21"/>
                <w:highlight w:val="none"/>
                <w:u w:val="none"/>
                <w:lang w:val="en-US" w:eastAsia="zh-CN" w:bidi="ar"/>
              </w:rPr>
            </w:pPr>
            <w:r>
              <w:rPr>
                <w:rFonts w:hint="eastAsia" w:ascii="Arial Narrow" w:hAnsi="Arial Narrow" w:eastAsia="楷体" w:cs="Arial Narrow"/>
                <w:b/>
                <w:bCs/>
                <w:i w:val="0"/>
                <w:iCs w:val="0"/>
                <w:color w:val="000000"/>
                <w:w w:val="100"/>
                <w:kern w:val="0"/>
                <w:sz w:val="21"/>
                <w:szCs w:val="21"/>
                <w:highlight w:val="none"/>
                <w:u w:val="none"/>
                <w:lang w:val="en-US" w:eastAsia="zh-CN" w:bidi="ar"/>
              </w:rPr>
              <w:t>中央</w:t>
            </w:r>
          </w:p>
        </w:tc>
        <w:tc>
          <w:tcPr>
            <w:tcW w:w="509" w:type="pct"/>
            <w:vAlign w:val="center"/>
          </w:tcPr>
          <w:p w14:paraId="53E0777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100"/>
                <w:kern w:val="0"/>
                <w:sz w:val="21"/>
                <w:szCs w:val="21"/>
                <w:highlight w:val="none"/>
                <w:u w:val="none"/>
                <w:lang w:val="en-US" w:eastAsia="zh-CN" w:bidi="ar"/>
              </w:rPr>
            </w:pPr>
            <w:r>
              <w:rPr>
                <w:rFonts w:hint="eastAsia" w:ascii="Arial Narrow" w:hAnsi="Arial Narrow" w:eastAsia="楷体" w:cs="Arial Narrow"/>
                <w:b/>
                <w:bCs/>
                <w:i w:val="0"/>
                <w:iCs w:val="0"/>
                <w:color w:val="000000"/>
                <w:w w:val="100"/>
                <w:kern w:val="0"/>
                <w:sz w:val="21"/>
                <w:szCs w:val="21"/>
                <w:highlight w:val="none"/>
                <w:u w:val="none"/>
                <w:lang w:val="en-US" w:eastAsia="zh-CN" w:bidi="ar"/>
              </w:rPr>
              <w:t>省级</w:t>
            </w:r>
          </w:p>
        </w:tc>
        <w:tc>
          <w:tcPr>
            <w:tcW w:w="576" w:type="pct"/>
            <w:vAlign w:val="center"/>
          </w:tcPr>
          <w:p w14:paraId="1590FF35">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100"/>
                <w:kern w:val="0"/>
                <w:sz w:val="21"/>
                <w:szCs w:val="21"/>
                <w:highlight w:val="none"/>
                <w:u w:val="none"/>
                <w:lang w:val="en-US" w:eastAsia="zh-CN" w:bidi="ar"/>
              </w:rPr>
            </w:pPr>
            <w:r>
              <w:rPr>
                <w:rFonts w:hint="eastAsia" w:ascii="Arial Narrow" w:hAnsi="Arial Narrow" w:eastAsia="楷体" w:cs="Arial Narrow"/>
                <w:b/>
                <w:bCs/>
                <w:i w:val="0"/>
                <w:iCs w:val="0"/>
                <w:color w:val="000000"/>
                <w:w w:val="100"/>
                <w:kern w:val="0"/>
                <w:sz w:val="21"/>
                <w:szCs w:val="21"/>
                <w:highlight w:val="none"/>
                <w:u w:val="none"/>
                <w:lang w:val="en-US" w:eastAsia="zh-CN" w:bidi="ar"/>
              </w:rPr>
              <w:t>自筹</w:t>
            </w:r>
          </w:p>
        </w:tc>
      </w:tr>
      <w:tr w14:paraId="16A8A2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37" w:type="pct"/>
            <w:vAlign w:val="center"/>
          </w:tcPr>
          <w:p w14:paraId="53120B53">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default" w:ascii="Arial Narrow" w:hAnsi="Arial Narrow" w:eastAsia="楷体" w:cs="Arial Narrow"/>
                <w:b w:val="0"/>
                <w:bCs w:val="0"/>
                <w:i w:val="0"/>
                <w:iCs w:val="0"/>
                <w:color w:val="000000"/>
                <w:w w:val="100"/>
                <w:kern w:val="0"/>
                <w:sz w:val="21"/>
                <w:szCs w:val="21"/>
                <w:highlight w:val="none"/>
                <w:u w:val="none"/>
                <w:lang w:val="en-US" w:eastAsia="zh-CN" w:bidi="ar"/>
              </w:rPr>
              <w:t>1</w:t>
            </w:r>
          </w:p>
        </w:tc>
        <w:tc>
          <w:tcPr>
            <w:tcW w:w="1879" w:type="pct"/>
            <w:vAlign w:val="center"/>
          </w:tcPr>
          <w:p w14:paraId="65A4324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高标准油茶林新造</w:t>
            </w:r>
          </w:p>
        </w:tc>
        <w:tc>
          <w:tcPr>
            <w:tcW w:w="868" w:type="dxa"/>
            <w:vAlign w:val="center"/>
          </w:tcPr>
          <w:p w14:paraId="555EB210">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 xml:space="preserve">774.9 </w:t>
            </w:r>
          </w:p>
        </w:tc>
        <w:tc>
          <w:tcPr>
            <w:tcW w:w="982" w:type="dxa"/>
            <w:vAlign w:val="center"/>
          </w:tcPr>
          <w:p w14:paraId="02D7810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 xml:space="preserve">432.56 </w:t>
            </w:r>
          </w:p>
        </w:tc>
        <w:tc>
          <w:tcPr>
            <w:tcW w:w="868" w:type="dxa"/>
            <w:vAlign w:val="center"/>
          </w:tcPr>
          <w:p w14:paraId="1DCE86E9">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i w:val="0"/>
                <w:iCs w:val="0"/>
                <w:color w:val="000000"/>
                <w:kern w:val="0"/>
                <w:sz w:val="21"/>
                <w:szCs w:val="21"/>
                <w:highlight w:val="none"/>
                <w:u w:val="none"/>
                <w:lang w:val="en-US" w:eastAsia="zh-CN" w:bidi="ar"/>
              </w:rPr>
              <w:t>228.44</w:t>
            </w:r>
          </w:p>
        </w:tc>
        <w:tc>
          <w:tcPr>
            <w:tcW w:w="868" w:type="dxa"/>
            <w:vAlign w:val="center"/>
          </w:tcPr>
          <w:p w14:paraId="473908A2">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i w:val="0"/>
                <w:iCs w:val="0"/>
                <w:color w:val="000000"/>
                <w:kern w:val="0"/>
                <w:sz w:val="21"/>
                <w:szCs w:val="21"/>
                <w:highlight w:val="none"/>
                <w:u w:val="none"/>
                <w:lang w:val="en-US" w:eastAsia="zh-CN" w:bidi="ar"/>
              </w:rPr>
              <w:t xml:space="preserve">77.49 </w:t>
            </w:r>
          </w:p>
        </w:tc>
        <w:tc>
          <w:tcPr>
            <w:tcW w:w="985" w:type="dxa"/>
            <w:vAlign w:val="center"/>
          </w:tcPr>
          <w:p w14:paraId="2D3682B9">
            <w:pPr>
              <w:keepNext w:val="0"/>
              <w:keepLines w:val="0"/>
              <w:widowControl w:val="0"/>
              <w:suppressLineNumbers w:val="0"/>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i w:val="0"/>
                <w:iCs w:val="0"/>
                <w:color w:val="000000"/>
                <w:kern w:val="0"/>
                <w:sz w:val="21"/>
                <w:szCs w:val="21"/>
                <w:highlight w:val="none"/>
                <w:u w:val="none"/>
                <w:lang w:val="en-US" w:eastAsia="zh-CN" w:bidi="ar"/>
              </w:rPr>
              <w:t>126.63</w:t>
            </w:r>
          </w:p>
        </w:tc>
      </w:tr>
      <w:tr w14:paraId="4CCCB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37" w:type="pct"/>
            <w:vAlign w:val="center"/>
          </w:tcPr>
          <w:p w14:paraId="21409F23">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default" w:ascii="Arial Narrow" w:hAnsi="Arial Narrow" w:eastAsia="楷体" w:cs="Arial Narrow"/>
                <w:b w:val="0"/>
                <w:bCs w:val="0"/>
                <w:i w:val="0"/>
                <w:iCs w:val="0"/>
                <w:color w:val="000000"/>
                <w:w w:val="100"/>
                <w:kern w:val="0"/>
                <w:sz w:val="21"/>
                <w:szCs w:val="21"/>
                <w:highlight w:val="none"/>
                <w:u w:val="none"/>
                <w:lang w:val="en-US" w:eastAsia="zh-CN" w:bidi="ar"/>
              </w:rPr>
              <w:t>2</w:t>
            </w:r>
          </w:p>
        </w:tc>
        <w:tc>
          <w:tcPr>
            <w:tcW w:w="1879" w:type="pct"/>
            <w:vAlign w:val="center"/>
          </w:tcPr>
          <w:p w14:paraId="737E8F28">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低产低效油茶林改造</w:t>
            </w:r>
          </w:p>
        </w:tc>
        <w:tc>
          <w:tcPr>
            <w:tcW w:w="509" w:type="pct"/>
            <w:vAlign w:val="center"/>
          </w:tcPr>
          <w:p w14:paraId="1A38545B">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p>
        </w:tc>
        <w:tc>
          <w:tcPr>
            <w:tcW w:w="576" w:type="pct"/>
            <w:vAlign w:val="center"/>
          </w:tcPr>
          <w:p w14:paraId="66C533E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p>
        </w:tc>
        <w:tc>
          <w:tcPr>
            <w:tcW w:w="509" w:type="pct"/>
            <w:vAlign w:val="center"/>
          </w:tcPr>
          <w:p w14:paraId="33714996">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p>
        </w:tc>
        <w:tc>
          <w:tcPr>
            <w:tcW w:w="509" w:type="pct"/>
            <w:vAlign w:val="center"/>
          </w:tcPr>
          <w:p w14:paraId="4B1CC17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p>
        </w:tc>
        <w:tc>
          <w:tcPr>
            <w:tcW w:w="576" w:type="pct"/>
            <w:vAlign w:val="center"/>
          </w:tcPr>
          <w:p w14:paraId="6EBD8F6A">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p>
        </w:tc>
      </w:tr>
      <w:tr w14:paraId="3B803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37" w:type="pct"/>
            <w:vAlign w:val="center"/>
          </w:tcPr>
          <w:p w14:paraId="0B137E1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default" w:ascii="Arial Narrow" w:hAnsi="Arial Narrow" w:eastAsia="楷体" w:cs="Arial Narrow"/>
                <w:b w:val="0"/>
                <w:bCs w:val="0"/>
                <w:i w:val="0"/>
                <w:iCs w:val="0"/>
                <w:color w:val="000000"/>
                <w:w w:val="100"/>
                <w:kern w:val="0"/>
                <w:sz w:val="21"/>
                <w:szCs w:val="21"/>
                <w:highlight w:val="none"/>
                <w:u w:val="none"/>
                <w:lang w:val="en-US" w:eastAsia="zh-CN" w:bidi="ar"/>
              </w:rPr>
              <w:t>3</w:t>
            </w:r>
          </w:p>
        </w:tc>
        <w:tc>
          <w:tcPr>
            <w:tcW w:w="1879" w:type="pct"/>
            <w:vAlign w:val="center"/>
          </w:tcPr>
          <w:p w14:paraId="1A727A6A">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水肥一体化</w:t>
            </w:r>
          </w:p>
        </w:tc>
        <w:tc>
          <w:tcPr>
            <w:tcW w:w="868" w:type="dxa"/>
            <w:vAlign w:val="center"/>
          </w:tcPr>
          <w:p w14:paraId="0477021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 xml:space="preserve">774.9 </w:t>
            </w:r>
          </w:p>
        </w:tc>
        <w:tc>
          <w:tcPr>
            <w:tcW w:w="982" w:type="dxa"/>
            <w:vAlign w:val="center"/>
          </w:tcPr>
          <w:p w14:paraId="1CB61CC6">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 xml:space="preserve">98.77 </w:t>
            </w:r>
          </w:p>
        </w:tc>
        <w:tc>
          <w:tcPr>
            <w:tcW w:w="868" w:type="dxa"/>
            <w:vAlign w:val="center"/>
          </w:tcPr>
          <w:p w14:paraId="42A1291F">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i w:val="0"/>
                <w:iCs w:val="0"/>
                <w:color w:val="000000"/>
                <w:kern w:val="0"/>
                <w:sz w:val="21"/>
                <w:szCs w:val="21"/>
                <w:highlight w:val="none"/>
                <w:u w:val="none"/>
                <w:lang w:val="en-US" w:eastAsia="zh-CN" w:bidi="ar"/>
              </w:rPr>
              <w:t>85.24</w:t>
            </w:r>
            <w:r>
              <w:rPr>
                <w:rFonts w:hint="default" w:ascii="Arial Narrow" w:hAnsi="Arial Narrow" w:eastAsia="楷体" w:cs="Arial Narrow"/>
                <w:i w:val="0"/>
                <w:iCs w:val="0"/>
                <w:color w:val="000000"/>
                <w:kern w:val="0"/>
                <w:sz w:val="21"/>
                <w:szCs w:val="21"/>
                <w:highlight w:val="none"/>
                <w:u w:val="none"/>
                <w:lang w:val="en-US" w:eastAsia="zh-CN" w:bidi="ar"/>
              </w:rPr>
              <w:t xml:space="preserve"> </w:t>
            </w:r>
          </w:p>
        </w:tc>
        <w:tc>
          <w:tcPr>
            <w:tcW w:w="868" w:type="dxa"/>
            <w:vAlign w:val="center"/>
          </w:tcPr>
          <w:p w14:paraId="37D16501">
            <w:pPr>
              <w:widowControl w:val="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p>
        </w:tc>
        <w:tc>
          <w:tcPr>
            <w:tcW w:w="985" w:type="dxa"/>
            <w:vAlign w:val="center"/>
          </w:tcPr>
          <w:p w14:paraId="453372BF">
            <w:pPr>
              <w:keepNext w:val="0"/>
              <w:keepLines w:val="0"/>
              <w:widowControl w:val="0"/>
              <w:suppressLineNumbers w:val="0"/>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i w:val="0"/>
                <w:iCs w:val="0"/>
                <w:color w:val="000000"/>
                <w:kern w:val="0"/>
                <w:sz w:val="21"/>
                <w:szCs w:val="21"/>
                <w:highlight w:val="none"/>
                <w:u w:val="none"/>
                <w:lang w:val="en-US" w:eastAsia="zh-CN" w:bidi="ar"/>
              </w:rPr>
              <w:t>13.53</w:t>
            </w:r>
            <w:r>
              <w:rPr>
                <w:rFonts w:hint="default" w:ascii="Arial Narrow" w:hAnsi="Arial Narrow" w:eastAsia="楷体" w:cs="Arial Narrow"/>
                <w:i w:val="0"/>
                <w:iCs w:val="0"/>
                <w:color w:val="000000"/>
                <w:kern w:val="0"/>
                <w:sz w:val="21"/>
                <w:szCs w:val="21"/>
                <w:highlight w:val="none"/>
                <w:u w:val="none"/>
                <w:lang w:val="en-US" w:eastAsia="zh-CN" w:bidi="ar"/>
              </w:rPr>
              <w:t xml:space="preserve"> </w:t>
            </w:r>
          </w:p>
        </w:tc>
      </w:tr>
      <w:tr w14:paraId="7BE38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37" w:type="pct"/>
            <w:vAlign w:val="center"/>
          </w:tcPr>
          <w:p w14:paraId="64FD1BA6">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default" w:ascii="Arial Narrow" w:hAnsi="Arial Narrow" w:eastAsia="楷体" w:cs="Arial Narrow"/>
                <w:b w:val="0"/>
                <w:bCs w:val="0"/>
                <w:i w:val="0"/>
                <w:iCs w:val="0"/>
                <w:color w:val="000000"/>
                <w:w w:val="100"/>
                <w:kern w:val="0"/>
                <w:sz w:val="21"/>
                <w:szCs w:val="21"/>
                <w:highlight w:val="none"/>
                <w:u w:val="none"/>
                <w:lang w:val="en-US" w:eastAsia="zh-CN" w:bidi="ar"/>
              </w:rPr>
              <w:t>4</w:t>
            </w:r>
          </w:p>
        </w:tc>
        <w:tc>
          <w:tcPr>
            <w:tcW w:w="1879" w:type="pct"/>
            <w:vAlign w:val="center"/>
          </w:tcPr>
          <w:p w14:paraId="34F07803">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水肥一体化配套电源及电费</w:t>
            </w:r>
          </w:p>
        </w:tc>
        <w:tc>
          <w:tcPr>
            <w:tcW w:w="509" w:type="pct"/>
            <w:vAlign w:val="center"/>
          </w:tcPr>
          <w:p w14:paraId="0849588F">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w:t>
            </w:r>
          </w:p>
        </w:tc>
        <w:tc>
          <w:tcPr>
            <w:tcW w:w="576" w:type="pct"/>
            <w:vAlign w:val="center"/>
          </w:tcPr>
          <w:p w14:paraId="2607C3F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8.56</w:t>
            </w:r>
          </w:p>
        </w:tc>
        <w:tc>
          <w:tcPr>
            <w:tcW w:w="509" w:type="pct"/>
            <w:vAlign w:val="center"/>
          </w:tcPr>
          <w:p w14:paraId="7321CF1A">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p>
        </w:tc>
        <w:tc>
          <w:tcPr>
            <w:tcW w:w="509" w:type="pct"/>
            <w:vAlign w:val="center"/>
          </w:tcPr>
          <w:p w14:paraId="7603FF3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p>
        </w:tc>
        <w:tc>
          <w:tcPr>
            <w:tcW w:w="576" w:type="pct"/>
            <w:vAlign w:val="center"/>
          </w:tcPr>
          <w:p w14:paraId="5E344106">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8.56</w:t>
            </w:r>
          </w:p>
        </w:tc>
      </w:tr>
      <w:tr w14:paraId="0A046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37" w:type="pct"/>
            <w:vAlign w:val="center"/>
          </w:tcPr>
          <w:p w14:paraId="0AB5CCA6">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default" w:ascii="Arial Narrow" w:hAnsi="Arial Narrow" w:eastAsia="楷体" w:cs="Arial Narrow"/>
                <w:b w:val="0"/>
                <w:bCs w:val="0"/>
                <w:i w:val="0"/>
                <w:iCs w:val="0"/>
                <w:color w:val="000000"/>
                <w:w w:val="100"/>
                <w:kern w:val="0"/>
                <w:sz w:val="21"/>
                <w:szCs w:val="21"/>
                <w:highlight w:val="none"/>
                <w:u w:val="none"/>
                <w:lang w:val="en-US" w:eastAsia="zh-CN" w:bidi="ar"/>
              </w:rPr>
              <w:t>5</w:t>
            </w:r>
          </w:p>
        </w:tc>
        <w:tc>
          <w:tcPr>
            <w:tcW w:w="1879" w:type="pct"/>
            <w:vAlign w:val="center"/>
          </w:tcPr>
          <w:p w14:paraId="399A67B9">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作业道路</w:t>
            </w:r>
          </w:p>
        </w:tc>
        <w:tc>
          <w:tcPr>
            <w:tcW w:w="509" w:type="pct"/>
            <w:vAlign w:val="center"/>
          </w:tcPr>
          <w:p w14:paraId="7215BB1B">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default" w:ascii="Arial Narrow" w:hAnsi="Arial Narrow" w:eastAsia="楷体" w:cs="Arial Narrow"/>
                <w:b w:val="0"/>
                <w:bCs w:val="0"/>
                <w:i w:val="0"/>
                <w:iCs w:val="0"/>
                <w:color w:val="000000"/>
                <w:w w:val="100"/>
                <w:kern w:val="0"/>
                <w:sz w:val="21"/>
                <w:szCs w:val="21"/>
                <w:highlight w:val="none"/>
                <w:u w:val="none"/>
                <w:lang w:val="en-US" w:eastAsia="zh-CN" w:bidi="ar"/>
              </w:rPr>
              <w:t>/</w:t>
            </w:r>
          </w:p>
        </w:tc>
        <w:tc>
          <w:tcPr>
            <w:tcW w:w="576" w:type="pct"/>
            <w:vAlign w:val="center"/>
          </w:tcPr>
          <w:p w14:paraId="5223FE4D">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6.72</w:t>
            </w:r>
          </w:p>
        </w:tc>
        <w:tc>
          <w:tcPr>
            <w:tcW w:w="509" w:type="pct"/>
            <w:vAlign w:val="center"/>
          </w:tcPr>
          <w:p w14:paraId="7E92E820">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p>
        </w:tc>
        <w:tc>
          <w:tcPr>
            <w:tcW w:w="509" w:type="pct"/>
            <w:vAlign w:val="center"/>
          </w:tcPr>
          <w:p w14:paraId="74B15154">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p>
        </w:tc>
        <w:tc>
          <w:tcPr>
            <w:tcW w:w="576" w:type="pct"/>
            <w:vAlign w:val="center"/>
          </w:tcPr>
          <w:p w14:paraId="30DBFFF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6.72</w:t>
            </w:r>
          </w:p>
        </w:tc>
      </w:tr>
      <w:tr w14:paraId="1A5AB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37" w:type="pct"/>
            <w:vAlign w:val="center"/>
          </w:tcPr>
          <w:p w14:paraId="35ABCC6D">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r>
              <w:rPr>
                <w:rFonts w:hint="default" w:ascii="Arial Narrow" w:hAnsi="Arial Narrow" w:eastAsia="楷体" w:cs="Arial Narrow"/>
                <w:b w:val="0"/>
                <w:bCs w:val="0"/>
                <w:i w:val="0"/>
                <w:iCs w:val="0"/>
                <w:color w:val="000000"/>
                <w:w w:val="100"/>
                <w:kern w:val="0"/>
                <w:sz w:val="21"/>
                <w:szCs w:val="21"/>
                <w:highlight w:val="none"/>
                <w:u w:val="none"/>
                <w:lang w:val="en-US" w:eastAsia="zh-CN" w:bidi="ar"/>
              </w:rPr>
              <w:t>6</w:t>
            </w:r>
          </w:p>
        </w:tc>
        <w:tc>
          <w:tcPr>
            <w:tcW w:w="1879" w:type="pct"/>
            <w:vAlign w:val="center"/>
          </w:tcPr>
          <w:p w14:paraId="7CE9C62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林地流转费</w:t>
            </w:r>
          </w:p>
        </w:tc>
        <w:tc>
          <w:tcPr>
            <w:tcW w:w="509" w:type="pct"/>
            <w:vAlign w:val="center"/>
          </w:tcPr>
          <w:p w14:paraId="2909F23E">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774.9</w:t>
            </w:r>
          </w:p>
        </w:tc>
        <w:tc>
          <w:tcPr>
            <w:tcW w:w="1286" w:type="dxa"/>
            <w:vAlign w:val="center"/>
          </w:tcPr>
          <w:p w14:paraId="62F7BB56">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58.12</w:t>
            </w:r>
          </w:p>
        </w:tc>
        <w:tc>
          <w:tcPr>
            <w:tcW w:w="1286" w:type="dxa"/>
            <w:vAlign w:val="center"/>
          </w:tcPr>
          <w:p w14:paraId="3D6F19AC">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p>
        </w:tc>
        <w:tc>
          <w:tcPr>
            <w:tcW w:w="1286" w:type="dxa"/>
            <w:vAlign w:val="center"/>
          </w:tcPr>
          <w:p w14:paraId="2C1EC104">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p>
        </w:tc>
        <w:tc>
          <w:tcPr>
            <w:tcW w:w="1392" w:type="dxa"/>
            <w:vAlign w:val="center"/>
          </w:tcPr>
          <w:p w14:paraId="4FEB263C">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 xml:space="preserve">58.12 </w:t>
            </w:r>
          </w:p>
        </w:tc>
      </w:tr>
      <w:tr w14:paraId="4EF99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37" w:type="pct"/>
            <w:vAlign w:val="center"/>
          </w:tcPr>
          <w:p w14:paraId="5144E4B9">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default" w:ascii="Arial Narrow" w:hAnsi="Arial Narrow" w:eastAsia="楷体" w:cs="Arial Narrow"/>
                <w:b w:val="0"/>
                <w:bCs w:val="0"/>
                <w:i w:val="0"/>
                <w:iCs w:val="0"/>
                <w:color w:val="000000"/>
                <w:w w:val="100"/>
                <w:kern w:val="0"/>
                <w:sz w:val="21"/>
                <w:szCs w:val="21"/>
                <w:highlight w:val="none"/>
                <w:u w:val="none"/>
                <w:lang w:val="en-US" w:eastAsia="zh-CN" w:bidi="ar"/>
              </w:rPr>
              <w:t>7</w:t>
            </w:r>
          </w:p>
        </w:tc>
        <w:tc>
          <w:tcPr>
            <w:tcW w:w="1879" w:type="pct"/>
            <w:vAlign w:val="center"/>
          </w:tcPr>
          <w:p w14:paraId="17F96FC5">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其他费用</w:t>
            </w:r>
          </w:p>
        </w:tc>
        <w:tc>
          <w:tcPr>
            <w:tcW w:w="509" w:type="pct"/>
            <w:vAlign w:val="center"/>
          </w:tcPr>
          <w:p w14:paraId="378E5B75">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default" w:ascii="Arial Narrow" w:hAnsi="Arial Narrow" w:eastAsia="楷体" w:cs="Arial Narrow"/>
                <w:b w:val="0"/>
                <w:bCs w:val="0"/>
                <w:i w:val="0"/>
                <w:iCs w:val="0"/>
                <w:color w:val="000000"/>
                <w:w w:val="100"/>
                <w:kern w:val="0"/>
                <w:sz w:val="21"/>
                <w:szCs w:val="21"/>
                <w:highlight w:val="none"/>
                <w:u w:val="none"/>
                <w:lang w:val="en-US" w:eastAsia="zh-CN" w:bidi="ar"/>
              </w:rPr>
              <w:t>/</w:t>
            </w:r>
          </w:p>
        </w:tc>
        <w:tc>
          <w:tcPr>
            <w:tcW w:w="1286" w:type="dxa"/>
            <w:vAlign w:val="center"/>
          </w:tcPr>
          <w:p w14:paraId="0A131587">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57.52</w:t>
            </w:r>
          </w:p>
        </w:tc>
        <w:tc>
          <w:tcPr>
            <w:tcW w:w="1286" w:type="dxa"/>
            <w:vAlign w:val="center"/>
          </w:tcPr>
          <w:p w14:paraId="3594E3B0">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p>
        </w:tc>
        <w:tc>
          <w:tcPr>
            <w:tcW w:w="1286" w:type="dxa"/>
            <w:vAlign w:val="center"/>
          </w:tcPr>
          <w:p w14:paraId="443B981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p>
        </w:tc>
        <w:tc>
          <w:tcPr>
            <w:tcW w:w="1392" w:type="dxa"/>
            <w:vAlign w:val="center"/>
          </w:tcPr>
          <w:p w14:paraId="45EA05D0">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 xml:space="preserve">57.52 </w:t>
            </w:r>
          </w:p>
        </w:tc>
      </w:tr>
      <w:tr w14:paraId="3E401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37" w:type="pct"/>
            <w:vAlign w:val="center"/>
          </w:tcPr>
          <w:p w14:paraId="248B643C">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8</w:t>
            </w:r>
          </w:p>
        </w:tc>
        <w:tc>
          <w:tcPr>
            <w:tcW w:w="1879" w:type="pct"/>
            <w:vAlign w:val="center"/>
          </w:tcPr>
          <w:p w14:paraId="0DE76B64">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预备费</w:t>
            </w:r>
          </w:p>
        </w:tc>
        <w:tc>
          <w:tcPr>
            <w:tcW w:w="509" w:type="pct"/>
            <w:vAlign w:val="center"/>
          </w:tcPr>
          <w:p w14:paraId="49F94227">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default" w:ascii="Arial Narrow" w:hAnsi="Arial Narrow" w:eastAsia="楷体" w:cs="Arial Narrow"/>
                <w:b w:val="0"/>
                <w:bCs w:val="0"/>
                <w:i w:val="0"/>
                <w:iCs w:val="0"/>
                <w:color w:val="000000"/>
                <w:w w:val="100"/>
                <w:kern w:val="0"/>
                <w:sz w:val="21"/>
                <w:szCs w:val="21"/>
                <w:highlight w:val="none"/>
                <w:u w:val="none"/>
                <w:lang w:val="en-US" w:eastAsia="zh-CN" w:bidi="ar"/>
              </w:rPr>
              <w:t>/</w:t>
            </w:r>
          </w:p>
        </w:tc>
        <w:tc>
          <w:tcPr>
            <w:tcW w:w="1286" w:type="dxa"/>
            <w:vAlign w:val="center"/>
          </w:tcPr>
          <w:p w14:paraId="01D869D1">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6.62</w:t>
            </w:r>
          </w:p>
        </w:tc>
        <w:tc>
          <w:tcPr>
            <w:tcW w:w="1286" w:type="dxa"/>
            <w:vAlign w:val="center"/>
          </w:tcPr>
          <w:p w14:paraId="41838D85">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p>
        </w:tc>
        <w:tc>
          <w:tcPr>
            <w:tcW w:w="1286" w:type="dxa"/>
            <w:vAlign w:val="center"/>
          </w:tcPr>
          <w:p w14:paraId="1038230D">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val="0"/>
                <w:bCs w:val="0"/>
                <w:i w:val="0"/>
                <w:iCs w:val="0"/>
                <w:color w:val="000000"/>
                <w:w w:val="100"/>
                <w:kern w:val="0"/>
                <w:sz w:val="21"/>
                <w:szCs w:val="21"/>
                <w:highlight w:val="none"/>
                <w:u w:val="none"/>
                <w:lang w:val="en-US" w:eastAsia="zh-CN" w:bidi="ar"/>
              </w:rPr>
            </w:pPr>
          </w:p>
        </w:tc>
        <w:tc>
          <w:tcPr>
            <w:tcW w:w="1392" w:type="dxa"/>
            <w:vAlign w:val="center"/>
          </w:tcPr>
          <w:p w14:paraId="29DC2275">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val="0"/>
                <w:bCs w:val="0"/>
                <w:i w:val="0"/>
                <w:iCs w:val="0"/>
                <w:color w:val="000000"/>
                <w:w w:val="100"/>
                <w:kern w:val="0"/>
                <w:sz w:val="21"/>
                <w:szCs w:val="21"/>
                <w:highlight w:val="none"/>
                <w:u w:val="none"/>
                <w:lang w:val="en-US" w:eastAsia="zh-CN" w:bidi="ar"/>
              </w:rPr>
            </w:pPr>
            <w:r>
              <w:rPr>
                <w:rFonts w:hint="eastAsia" w:ascii="Arial Narrow" w:hAnsi="Arial Narrow" w:eastAsia="楷体" w:cs="Arial Narrow"/>
                <w:b w:val="0"/>
                <w:bCs w:val="0"/>
                <w:i w:val="0"/>
                <w:iCs w:val="0"/>
                <w:color w:val="000000"/>
                <w:w w:val="100"/>
                <w:kern w:val="0"/>
                <w:sz w:val="21"/>
                <w:szCs w:val="21"/>
                <w:highlight w:val="none"/>
                <w:u w:val="none"/>
                <w:lang w:val="en-US" w:eastAsia="zh-CN" w:bidi="ar"/>
              </w:rPr>
              <w:t>6.62</w:t>
            </w:r>
          </w:p>
        </w:tc>
      </w:tr>
      <w:tr w14:paraId="10A6D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437" w:type="pct"/>
            <w:vAlign w:val="center"/>
          </w:tcPr>
          <w:p w14:paraId="70A4F699">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100"/>
                <w:kern w:val="0"/>
                <w:sz w:val="21"/>
                <w:szCs w:val="21"/>
                <w:highlight w:val="none"/>
                <w:u w:val="none"/>
                <w:lang w:val="en-US" w:eastAsia="zh-CN" w:bidi="ar"/>
              </w:rPr>
            </w:pPr>
            <w:r>
              <w:rPr>
                <w:rFonts w:hint="eastAsia" w:ascii="Arial Narrow" w:hAnsi="Arial Narrow" w:eastAsia="楷体" w:cs="Arial Narrow"/>
                <w:b/>
                <w:bCs/>
                <w:i w:val="0"/>
                <w:iCs w:val="0"/>
                <w:color w:val="000000"/>
                <w:w w:val="100"/>
                <w:kern w:val="0"/>
                <w:sz w:val="21"/>
                <w:szCs w:val="21"/>
                <w:highlight w:val="none"/>
                <w:u w:val="none"/>
                <w:lang w:val="en-US" w:eastAsia="zh-CN" w:bidi="ar"/>
              </w:rPr>
              <w:t>9</w:t>
            </w:r>
          </w:p>
        </w:tc>
        <w:tc>
          <w:tcPr>
            <w:tcW w:w="1879" w:type="pct"/>
            <w:vAlign w:val="center"/>
          </w:tcPr>
          <w:p w14:paraId="19442A05">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bCs/>
                <w:i w:val="0"/>
                <w:iCs w:val="0"/>
                <w:color w:val="000000"/>
                <w:w w:val="100"/>
                <w:kern w:val="0"/>
                <w:sz w:val="21"/>
                <w:szCs w:val="21"/>
                <w:highlight w:val="none"/>
                <w:u w:val="none"/>
                <w:lang w:val="en-US" w:eastAsia="zh-CN" w:bidi="ar"/>
              </w:rPr>
            </w:pPr>
            <w:r>
              <w:rPr>
                <w:rFonts w:hint="eastAsia" w:ascii="Arial Narrow" w:hAnsi="Arial Narrow" w:eastAsia="楷体" w:cs="Arial Narrow"/>
                <w:b/>
                <w:bCs/>
                <w:i w:val="0"/>
                <w:iCs w:val="0"/>
                <w:color w:val="000000"/>
                <w:w w:val="100"/>
                <w:kern w:val="0"/>
                <w:sz w:val="21"/>
                <w:szCs w:val="21"/>
                <w:highlight w:val="none"/>
                <w:u w:val="none"/>
                <w:lang w:val="en-US" w:eastAsia="zh-CN" w:bidi="ar"/>
              </w:rPr>
              <w:t>合计</w:t>
            </w:r>
          </w:p>
        </w:tc>
        <w:tc>
          <w:tcPr>
            <w:tcW w:w="509" w:type="pct"/>
            <w:vAlign w:val="center"/>
          </w:tcPr>
          <w:p w14:paraId="4FE8BD97">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eastAsia" w:ascii="Arial Narrow" w:hAnsi="Arial Narrow" w:eastAsia="楷体" w:cs="Arial Narrow"/>
                <w:b/>
                <w:bCs/>
                <w:i w:val="0"/>
                <w:iCs w:val="0"/>
                <w:color w:val="000000"/>
                <w:w w:val="100"/>
                <w:kern w:val="0"/>
                <w:sz w:val="21"/>
                <w:szCs w:val="21"/>
                <w:highlight w:val="none"/>
                <w:u w:val="none"/>
                <w:lang w:val="en-US" w:eastAsia="zh-CN" w:bidi="ar"/>
              </w:rPr>
            </w:pPr>
          </w:p>
        </w:tc>
        <w:tc>
          <w:tcPr>
            <w:tcW w:w="1286" w:type="dxa"/>
            <w:vAlign w:val="center"/>
          </w:tcPr>
          <w:p w14:paraId="0631854A">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100"/>
                <w:kern w:val="0"/>
                <w:sz w:val="21"/>
                <w:szCs w:val="21"/>
                <w:highlight w:val="none"/>
                <w:u w:val="none"/>
                <w:lang w:val="en-US" w:eastAsia="zh-CN" w:bidi="ar"/>
              </w:rPr>
            </w:pPr>
            <w:r>
              <w:rPr>
                <w:rFonts w:hint="eastAsia" w:ascii="Arial Narrow" w:hAnsi="Arial Narrow" w:eastAsia="楷体" w:cs="Arial Narrow"/>
                <w:b/>
                <w:bCs/>
                <w:i w:val="0"/>
                <w:iCs w:val="0"/>
                <w:color w:val="000000"/>
                <w:w w:val="100"/>
                <w:kern w:val="0"/>
                <w:sz w:val="21"/>
                <w:szCs w:val="21"/>
                <w:highlight w:val="none"/>
                <w:u w:val="none"/>
                <w:lang w:val="en-US" w:eastAsia="zh-CN" w:bidi="ar"/>
              </w:rPr>
              <w:t xml:space="preserve">668.87 </w:t>
            </w:r>
          </w:p>
        </w:tc>
        <w:tc>
          <w:tcPr>
            <w:tcW w:w="1286" w:type="dxa"/>
            <w:vAlign w:val="center"/>
          </w:tcPr>
          <w:p w14:paraId="2600C029">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100"/>
                <w:kern w:val="0"/>
                <w:sz w:val="21"/>
                <w:szCs w:val="21"/>
                <w:highlight w:val="none"/>
                <w:u w:val="none"/>
                <w:lang w:val="en-US" w:eastAsia="zh-CN" w:bidi="ar"/>
              </w:rPr>
            </w:pPr>
            <w:r>
              <w:rPr>
                <w:rFonts w:hint="eastAsia" w:ascii="Arial Narrow" w:hAnsi="Arial Narrow" w:eastAsia="楷体" w:cs="Arial Narrow"/>
                <w:b/>
                <w:bCs/>
                <w:i w:val="0"/>
                <w:iCs w:val="0"/>
                <w:color w:val="000000"/>
                <w:w w:val="100"/>
                <w:kern w:val="0"/>
                <w:sz w:val="21"/>
                <w:szCs w:val="21"/>
                <w:highlight w:val="none"/>
                <w:u w:val="none"/>
                <w:lang w:val="en-US" w:eastAsia="zh-CN" w:bidi="ar"/>
              </w:rPr>
              <w:t xml:space="preserve">313.68 </w:t>
            </w:r>
          </w:p>
        </w:tc>
        <w:tc>
          <w:tcPr>
            <w:tcW w:w="1286" w:type="dxa"/>
            <w:vAlign w:val="center"/>
          </w:tcPr>
          <w:p w14:paraId="3D529E82">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100"/>
                <w:kern w:val="0"/>
                <w:sz w:val="21"/>
                <w:szCs w:val="21"/>
                <w:highlight w:val="none"/>
                <w:u w:val="none"/>
                <w:lang w:val="en-US" w:eastAsia="zh-CN" w:bidi="ar"/>
              </w:rPr>
            </w:pPr>
            <w:r>
              <w:rPr>
                <w:rFonts w:hint="eastAsia" w:ascii="Arial Narrow" w:hAnsi="Arial Narrow" w:eastAsia="楷体" w:cs="Arial Narrow"/>
                <w:b/>
                <w:bCs/>
                <w:i w:val="0"/>
                <w:iCs w:val="0"/>
                <w:color w:val="000000"/>
                <w:w w:val="100"/>
                <w:kern w:val="0"/>
                <w:sz w:val="21"/>
                <w:szCs w:val="21"/>
                <w:highlight w:val="none"/>
                <w:u w:val="none"/>
                <w:lang w:val="en-US" w:eastAsia="zh-CN" w:bidi="ar"/>
              </w:rPr>
              <w:t xml:space="preserve">77.49 </w:t>
            </w:r>
          </w:p>
        </w:tc>
        <w:tc>
          <w:tcPr>
            <w:tcW w:w="1392" w:type="dxa"/>
            <w:vAlign w:val="center"/>
          </w:tcPr>
          <w:p w14:paraId="0E58E7CA">
            <w:pPr>
              <w:keepNext w:val="0"/>
              <w:keepLines w:val="0"/>
              <w:pageBreakBefore w:val="0"/>
              <w:widowControl w:val="0"/>
              <w:suppressLineNumbers w:val="0"/>
              <w:kinsoku/>
              <w:wordWrap/>
              <w:overflowPunct/>
              <w:topLinePunct w:val="0"/>
              <w:autoSpaceDE/>
              <w:autoSpaceDN/>
              <w:bidi w:val="0"/>
              <w:adjustRightInd/>
              <w:snapToGrid/>
              <w:spacing w:after="0" w:line="240" w:lineRule="auto"/>
              <w:ind w:firstLine="0" w:firstLineChars="0"/>
              <w:jc w:val="center"/>
              <w:textAlignment w:val="center"/>
              <w:rPr>
                <w:rFonts w:hint="default" w:ascii="Arial Narrow" w:hAnsi="Arial Narrow" w:eastAsia="楷体" w:cs="Arial Narrow"/>
                <w:b/>
                <w:bCs/>
                <w:i w:val="0"/>
                <w:iCs w:val="0"/>
                <w:color w:val="000000"/>
                <w:w w:val="100"/>
                <w:kern w:val="0"/>
                <w:sz w:val="21"/>
                <w:szCs w:val="21"/>
                <w:highlight w:val="none"/>
                <w:u w:val="none"/>
                <w:lang w:val="en-US" w:eastAsia="zh-CN" w:bidi="ar"/>
              </w:rPr>
            </w:pPr>
            <w:r>
              <w:rPr>
                <w:rFonts w:hint="eastAsia" w:ascii="Arial Narrow" w:hAnsi="Arial Narrow" w:eastAsia="楷体" w:cs="Arial Narrow"/>
                <w:b/>
                <w:bCs/>
                <w:i w:val="0"/>
                <w:iCs w:val="0"/>
                <w:color w:val="000000"/>
                <w:w w:val="100"/>
                <w:kern w:val="0"/>
                <w:sz w:val="21"/>
                <w:szCs w:val="21"/>
                <w:highlight w:val="none"/>
                <w:u w:val="none"/>
                <w:lang w:val="en-US" w:eastAsia="zh-CN" w:bidi="ar"/>
              </w:rPr>
              <w:t xml:space="preserve">277.70 </w:t>
            </w:r>
          </w:p>
        </w:tc>
      </w:tr>
    </w:tbl>
    <w:p w14:paraId="10CD5C23">
      <w:pPr>
        <w:pageBreakBefore w:val="0"/>
        <w:widowControl w:val="0"/>
        <w:kinsoku/>
        <w:wordWrap/>
        <w:overflowPunct/>
        <w:topLinePunct w:val="0"/>
        <w:bidi w:val="0"/>
        <w:snapToGrid/>
        <w:rPr>
          <w:rFonts w:hint="eastAsia"/>
        </w:rPr>
      </w:pPr>
    </w:p>
    <w:p w14:paraId="2990ADBE">
      <w:pPr>
        <w:pageBreakBefore w:val="0"/>
        <w:widowControl w:val="0"/>
        <w:kinsoku/>
        <w:wordWrap/>
        <w:overflowPunct/>
        <w:topLinePunct w:val="0"/>
        <w:bidi w:val="0"/>
        <w:rPr>
          <w:rFonts w:hint="eastAsia" w:ascii="黑体" w:hAnsi="黑体" w:eastAsia="黑体" w:cs="Times New Roman"/>
          <w:bCs/>
          <w:sz w:val="36"/>
          <w:szCs w:val="36"/>
          <w:lang w:val="en-US" w:eastAsia="zh-CN"/>
        </w:rPr>
      </w:pPr>
      <w:r>
        <w:rPr>
          <w:rFonts w:hint="eastAsia" w:ascii="黑体" w:hAnsi="黑体" w:eastAsia="黑体" w:cs="Times New Roman"/>
          <w:bCs/>
          <w:sz w:val="36"/>
          <w:szCs w:val="36"/>
          <w:lang w:val="en-US" w:eastAsia="zh-CN"/>
        </w:rPr>
        <w:br w:type="page"/>
      </w:r>
    </w:p>
    <w:p w14:paraId="502A5F9B">
      <w:pPr>
        <w:pStyle w:val="2"/>
        <w:pageBreakBefore w:val="0"/>
        <w:widowControl w:val="0"/>
        <w:kinsoku/>
        <w:wordWrap/>
        <w:overflowPunct/>
        <w:topLinePunct w:val="0"/>
        <w:bidi w:val="0"/>
        <w:snapToGrid/>
        <w:spacing w:before="326" w:beforeLines="100" w:after="326" w:afterLines="100" w:line="360" w:lineRule="auto"/>
        <w:ind w:right="0" w:rightChars="0" w:firstLine="0" w:firstLineChars="0"/>
        <w:jc w:val="center"/>
        <w:rPr>
          <w:rFonts w:hint="eastAsia" w:ascii="黑体" w:hAnsi="黑体" w:eastAsia="黑体" w:cs="Times New Roman"/>
          <w:b/>
          <w:bCs w:val="0"/>
          <w:sz w:val="36"/>
          <w:szCs w:val="36"/>
          <w:lang w:val="en-US" w:eastAsia="zh-CN"/>
        </w:rPr>
      </w:pPr>
      <w:bookmarkStart w:id="830" w:name="_Toc19693"/>
      <w:bookmarkStart w:id="831" w:name="_Toc13785"/>
      <w:r>
        <w:rPr>
          <w:rFonts w:hint="eastAsia" w:ascii="黑体" w:hAnsi="黑体" w:eastAsia="黑体" w:cs="Times New Roman"/>
          <w:b/>
          <w:bCs w:val="0"/>
          <w:sz w:val="36"/>
          <w:szCs w:val="36"/>
          <w:lang w:val="en-US" w:eastAsia="zh-CN"/>
        </w:rPr>
        <w:fldChar w:fldCharType="begin"/>
      </w:r>
      <w:r>
        <w:rPr>
          <w:rFonts w:hint="eastAsia" w:ascii="黑体" w:hAnsi="黑体" w:eastAsia="黑体" w:cs="Times New Roman"/>
          <w:b/>
          <w:bCs w:val="0"/>
          <w:sz w:val="36"/>
          <w:szCs w:val="36"/>
          <w:lang w:val="en-US" w:eastAsia="zh-CN"/>
        </w:rPr>
        <w:instrText xml:space="preserve"> HYPERLINK \l _Toc20350 </w:instrText>
      </w:r>
      <w:r>
        <w:rPr>
          <w:rFonts w:hint="eastAsia" w:ascii="黑体" w:hAnsi="黑体" w:eastAsia="黑体" w:cs="Times New Roman"/>
          <w:b/>
          <w:bCs w:val="0"/>
          <w:sz w:val="36"/>
          <w:szCs w:val="36"/>
          <w:lang w:val="en-US" w:eastAsia="zh-CN"/>
        </w:rPr>
        <w:fldChar w:fldCharType="separate"/>
      </w:r>
      <w:r>
        <w:rPr>
          <w:rFonts w:hint="eastAsia" w:ascii="黑体" w:hAnsi="黑体" w:eastAsia="黑体" w:cs="Times New Roman"/>
          <w:b/>
          <w:bCs w:val="0"/>
          <w:sz w:val="36"/>
          <w:szCs w:val="36"/>
          <w:lang w:val="en-US" w:eastAsia="zh-CN"/>
        </w:rPr>
        <w:t>第</w:t>
      </w:r>
      <w:r>
        <w:rPr>
          <w:rFonts w:hint="eastAsia" w:cs="Times New Roman"/>
          <w:b/>
          <w:bCs w:val="0"/>
          <w:sz w:val="36"/>
          <w:szCs w:val="36"/>
          <w:lang w:val="en-US" w:eastAsia="zh-CN"/>
        </w:rPr>
        <w:t>十二</w:t>
      </w:r>
      <w:r>
        <w:rPr>
          <w:rFonts w:hint="eastAsia" w:ascii="黑体" w:hAnsi="黑体" w:eastAsia="黑体" w:cs="Times New Roman"/>
          <w:b/>
          <w:bCs w:val="0"/>
          <w:sz w:val="36"/>
          <w:szCs w:val="36"/>
          <w:lang w:val="en-US" w:eastAsia="zh-CN"/>
        </w:rPr>
        <w:t>章</w:t>
      </w:r>
      <w:r>
        <w:rPr>
          <w:rFonts w:hint="eastAsia" w:cs="Times New Roman"/>
          <w:b/>
          <w:bCs w:val="0"/>
          <w:sz w:val="36"/>
          <w:szCs w:val="36"/>
          <w:lang w:val="en-US" w:eastAsia="zh-CN"/>
        </w:rPr>
        <w:t xml:space="preserve"> </w:t>
      </w:r>
      <w:r>
        <w:rPr>
          <w:rFonts w:hint="eastAsia" w:ascii="黑体" w:hAnsi="黑体" w:eastAsia="黑体" w:cs="Times New Roman"/>
          <w:b/>
          <w:bCs w:val="0"/>
          <w:sz w:val="36"/>
          <w:szCs w:val="36"/>
          <w:lang w:val="en-US" w:eastAsia="zh-CN"/>
        </w:rPr>
        <w:t>项目效益分析</w:t>
      </w:r>
      <w:r>
        <w:rPr>
          <w:rFonts w:hint="eastAsia" w:ascii="黑体" w:hAnsi="黑体" w:eastAsia="黑体" w:cs="Times New Roman"/>
          <w:b/>
          <w:bCs w:val="0"/>
          <w:sz w:val="36"/>
          <w:szCs w:val="36"/>
          <w:lang w:val="en-US" w:eastAsia="zh-CN"/>
        </w:rPr>
        <w:fldChar w:fldCharType="end"/>
      </w:r>
      <w:bookmarkEnd w:id="830"/>
      <w:bookmarkEnd w:id="831"/>
    </w:p>
    <w:p w14:paraId="5306634E">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832" w:name="_Toc223689934"/>
      <w:bookmarkStart w:id="833" w:name="_Toc396762291"/>
      <w:bookmarkStart w:id="834" w:name="_Toc135903013"/>
      <w:bookmarkStart w:id="835" w:name="_Toc90570815"/>
      <w:bookmarkStart w:id="836" w:name="_Toc2003"/>
      <w:bookmarkStart w:id="837" w:name="_Toc113286378"/>
      <w:bookmarkStart w:id="838" w:name="_Toc7052"/>
      <w:bookmarkStart w:id="839" w:name="_Toc396"/>
      <w:bookmarkStart w:id="840" w:name="_Toc21088"/>
      <w:bookmarkStart w:id="841" w:name="_Toc9058"/>
      <w:r>
        <w:rPr>
          <w:rFonts w:hint="eastAsia" w:ascii="黑体" w:hAnsi="黑体" w:cs="Times New Roman"/>
          <w:bCs w:val="0"/>
          <w:kern w:val="0"/>
          <w:sz w:val="32"/>
          <w:szCs w:val="32"/>
          <w:lang w:val="en-US" w:eastAsia="zh-CN"/>
        </w:rPr>
        <w:t>12.1</w:t>
      </w:r>
      <w:bookmarkEnd w:id="832"/>
      <w:bookmarkEnd w:id="833"/>
      <w:r>
        <w:rPr>
          <w:rFonts w:hint="eastAsia" w:ascii="黑体" w:hAnsi="黑体" w:cs="Times New Roman"/>
          <w:bCs w:val="0"/>
          <w:kern w:val="0"/>
          <w:sz w:val="32"/>
          <w:szCs w:val="32"/>
          <w:lang w:val="en-US" w:eastAsia="zh-CN"/>
        </w:rPr>
        <w:t xml:space="preserve"> </w:t>
      </w:r>
      <w:bookmarkEnd w:id="834"/>
      <w:bookmarkEnd w:id="835"/>
      <w:bookmarkEnd w:id="836"/>
      <w:bookmarkEnd w:id="837"/>
      <w:r>
        <w:rPr>
          <w:rFonts w:hint="eastAsia" w:ascii="黑体" w:hAnsi="黑体" w:cs="Times New Roman"/>
          <w:bCs w:val="0"/>
          <w:kern w:val="0"/>
          <w:sz w:val="32"/>
          <w:szCs w:val="32"/>
          <w:lang w:val="en-US" w:eastAsia="zh-CN"/>
        </w:rPr>
        <w:t>生态效益分析</w:t>
      </w:r>
      <w:bookmarkEnd w:id="838"/>
      <w:bookmarkEnd w:id="839"/>
      <w:bookmarkEnd w:id="840"/>
      <w:bookmarkEnd w:id="841"/>
    </w:p>
    <w:p w14:paraId="04597F29">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bookmarkStart w:id="842" w:name="_Toc13132"/>
      <w:bookmarkStart w:id="843" w:name="_Toc135903016"/>
      <w:bookmarkStart w:id="844" w:name="_Toc113286381"/>
      <w:r>
        <w:rPr>
          <w:rFonts w:hint="eastAsia" w:ascii="Times New Roman" w:hAnsi="Times New Roman" w:eastAsia="仿宋_GB2312" w:cs="Times New Roman"/>
          <w:bCs/>
          <w:kern w:val="0"/>
          <w:sz w:val="28"/>
          <w:szCs w:val="28"/>
          <w:lang w:val="zh-TW" w:eastAsia="zh-CN"/>
        </w:rPr>
        <w:t>项目建设过程中进行林地清理、整地、造林、追肥及作业道修建等活动在一定时期、一定程度上会对</w:t>
      </w:r>
      <w:r>
        <w:rPr>
          <w:rFonts w:hint="eastAsia" w:ascii="Times New Roman" w:hAnsi="Times New Roman" w:eastAsia="仿宋_GB2312" w:cs="Times New Roman"/>
          <w:bCs/>
          <w:kern w:val="0"/>
          <w:sz w:val="28"/>
          <w:szCs w:val="28"/>
          <w:lang w:val="en-US" w:eastAsia="zh-CN"/>
        </w:rPr>
        <w:t>生态</w:t>
      </w:r>
      <w:r>
        <w:rPr>
          <w:rFonts w:hint="eastAsia" w:ascii="Times New Roman" w:hAnsi="Times New Roman" w:eastAsia="仿宋_GB2312" w:cs="Times New Roman"/>
          <w:bCs/>
          <w:kern w:val="0"/>
          <w:sz w:val="28"/>
          <w:szCs w:val="28"/>
          <w:lang w:val="zh-TW" w:eastAsia="zh-CN"/>
        </w:rPr>
        <w:t>环境造成一定的负面影响，但这些负面影响因素可以通过采取科学、合理的经营管理措施和环保措施加以防范或减免，并随着项目的建成逐渐减轻或消</w:t>
      </w:r>
      <w:r>
        <w:rPr>
          <w:rFonts w:hint="eastAsia" w:ascii="Times New Roman" w:hAnsi="Times New Roman" w:eastAsia="仿宋_GB2312" w:cs="Times New Roman"/>
          <w:bCs/>
          <w:kern w:val="0"/>
          <w:sz w:val="28"/>
          <w:szCs w:val="28"/>
          <w:lang w:val="en-US" w:eastAsia="zh-CN"/>
        </w:rPr>
        <w:t>除</w:t>
      </w:r>
      <w:r>
        <w:rPr>
          <w:rFonts w:hint="eastAsia" w:ascii="Times New Roman" w:hAnsi="Times New Roman" w:eastAsia="仿宋_GB2312" w:cs="Times New Roman"/>
          <w:bCs/>
          <w:kern w:val="0"/>
          <w:sz w:val="28"/>
          <w:szCs w:val="28"/>
          <w:lang w:val="zh-TW" w:eastAsia="zh-CN"/>
        </w:rPr>
        <w:t>。</w:t>
      </w:r>
    </w:p>
    <w:p w14:paraId="6E4C83A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油茶成林稳定后能遏制其他易燃植物的生长，具有很好的防火阻隔作用，还发挥重大的生态效益。对区域涵养水源、保持水土、固碳释氧、净化空气、保护生物多样性等方面具有促进作用。依据《森林生态系统服务功能评估规范》（GB/T 38582—2020），参照相关研究参数，对本项目油茶林生态服务功能进行价值评估。</w:t>
      </w:r>
    </w:p>
    <w:p w14:paraId="37D033D1">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12.1.1涵养水源</w:t>
      </w:r>
    </w:p>
    <w:p w14:paraId="1A14F9F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油茶林的水源涵养功能是指森林生态系统通过其特有的结构与水相互作用，对降水进行截留、渗透、蓄积，并通过蒸发实现对水流、水循环的调控，主要包括调节水文和净化水质等功能。根据相关研究资料测算，油茶林土壤及枯落物的蓄水量为187.5立方米/亩。该项目第三批白石镇片区营造油茶774.9亩，按标准林分的40%计算，年增加蓄水5.81万立方米，按衢州市居民生活用水1.80元/吨测算，其每年的替代值约10.46万元。</w:t>
      </w:r>
    </w:p>
    <w:p w14:paraId="3A28876D">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12.1.2保持水土</w:t>
      </w:r>
    </w:p>
    <w:p w14:paraId="243658F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油茶林保土效益主要体现在减少水土流失、保存土壤肥力、减少泥沙滞留和淤积等方面。根据测定资料，标准林分平均每亩每年保土28.9吨，按标准林分的40%计算，可减少水土流失0.90万吨以上，按每吨10元计算，每年保土效益为8.96万元以上。</w:t>
      </w:r>
    </w:p>
    <w:p w14:paraId="7012FBFE">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12.1.3固碳释氧</w:t>
      </w:r>
    </w:p>
    <w:p w14:paraId="794A42E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根据相关研究资料测算，每亩油茶每天可吸收二氧化碳4.0千克、释放氧气2.6千克，每年可吸收二氧化碳1.46吨、释放氧气0.95吨，本项目白石镇片区工程建成后，每年可吸收二氧化碳0.11万吨，每年可释放氧气0.07万吨。按工业成本法测算，生产二氧化碳成本为1200元/吨，并结合市场逼近系数0.2作为同化二氧化碳的定价，油茶林每年可增加同化二氧化碳效益近27.15万元。按生产氧气成本为150元/吨（按医用氧气批发价的20%）测算，项目每年释放氧气的效益为2.21万元。</w:t>
      </w:r>
    </w:p>
    <w:p w14:paraId="44973ADA">
      <w:pPr>
        <w:pageBreakBefore w:val="0"/>
        <w:widowControl w:val="0"/>
        <w:kinsoku/>
        <w:wordWrap/>
        <w:overflowPunct/>
        <w:topLinePunct w:val="0"/>
        <w:bidi w:val="0"/>
        <w:snapToGrid/>
        <w:spacing w:after="0" w:line="360" w:lineRule="auto"/>
        <w:ind w:firstLine="562" w:firstLineChars="200"/>
        <w:jc w:val="both"/>
        <w:rPr>
          <w:rFonts w:hint="eastAsia" w:ascii="Times New Roman" w:hAnsi="Times New Roman" w:eastAsia="仿宋_GB2312" w:cs="Times New Roman"/>
          <w:b/>
          <w:bCs w:val="0"/>
          <w:kern w:val="0"/>
          <w:sz w:val="28"/>
          <w:szCs w:val="28"/>
          <w:lang w:val="en-US" w:eastAsia="zh-CN"/>
        </w:rPr>
      </w:pPr>
      <w:r>
        <w:rPr>
          <w:rFonts w:hint="eastAsia" w:ascii="Times New Roman" w:hAnsi="Times New Roman" w:eastAsia="仿宋_GB2312" w:cs="Times New Roman"/>
          <w:b/>
          <w:bCs w:val="0"/>
          <w:kern w:val="0"/>
          <w:sz w:val="28"/>
          <w:szCs w:val="28"/>
          <w:lang w:val="en-US" w:eastAsia="zh-CN"/>
        </w:rPr>
        <w:t>12.1.4净化大气环境</w:t>
      </w:r>
    </w:p>
    <w:p w14:paraId="3AD52945">
      <w:pPr>
        <w:pageBreakBefore w:val="0"/>
        <w:widowControl w:val="0"/>
        <w:kinsoku/>
        <w:wordWrap/>
        <w:overflowPunct/>
        <w:topLinePunct w:val="0"/>
        <w:bidi w:val="0"/>
        <w:snapToGrid/>
        <w:spacing w:after="0" w:line="360" w:lineRule="auto"/>
        <w:ind w:firstLine="560" w:firstLineChars="200"/>
        <w:jc w:val="both"/>
        <w:rPr>
          <w:rFonts w:hint="default"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油茶通过阻挡、过滤和吸附粉尘来净化大气。研究表明，标准林分平均每亩每年滞尘1.3吨，按标准林分的40%计算，降尘清理费市场替代价每吨150元，市场逼近系数0.2计算，每年每亩油茶滞尘作用产生的净化大气效益为15.6元。经评估项目区油茶每年净化大气环境价值为1.21万元。</w:t>
      </w:r>
    </w:p>
    <w:bookmarkEnd w:id="842"/>
    <w:bookmarkEnd w:id="843"/>
    <w:bookmarkEnd w:id="844"/>
    <w:p w14:paraId="03399094">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845" w:name="_Toc29909"/>
      <w:bookmarkStart w:id="846" w:name="_Toc11102"/>
      <w:bookmarkStart w:id="847" w:name="_Toc25868"/>
      <w:bookmarkStart w:id="848" w:name="_Toc14373"/>
      <w:r>
        <w:rPr>
          <w:rFonts w:hint="eastAsia" w:ascii="黑体" w:hAnsi="黑体" w:cs="Times New Roman"/>
          <w:bCs w:val="0"/>
          <w:kern w:val="0"/>
          <w:sz w:val="32"/>
          <w:szCs w:val="32"/>
          <w:lang w:val="en-US" w:eastAsia="zh-CN"/>
        </w:rPr>
        <w:t>12.2 社会效益分析</w:t>
      </w:r>
      <w:bookmarkEnd w:id="845"/>
      <w:bookmarkEnd w:id="846"/>
      <w:bookmarkEnd w:id="847"/>
      <w:bookmarkEnd w:id="848"/>
    </w:p>
    <w:p w14:paraId="7666E889">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outlineLvl w:val="1"/>
        <w:rPr>
          <w:rFonts w:hint="eastAsia" w:ascii="楷体_GB2312" w:hAnsi="宋体" w:eastAsia="楷体_GB2312" w:cs="宋体"/>
          <w:b/>
          <w:bCs/>
          <w:kern w:val="0"/>
          <w:sz w:val="30"/>
          <w:szCs w:val="30"/>
          <w:lang w:val="en-US" w:eastAsia="zh-CN"/>
        </w:rPr>
      </w:pPr>
      <w:bookmarkStart w:id="849" w:name="_Toc12921"/>
      <w:bookmarkStart w:id="850" w:name="_Toc821"/>
      <w:r>
        <w:rPr>
          <w:rFonts w:hint="eastAsia" w:ascii="楷体_GB2312" w:hAnsi="宋体" w:eastAsia="楷体_GB2312" w:cs="宋体"/>
          <w:b/>
          <w:bCs/>
          <w:kern w:val="0"/>
          <w:sz w:val="30"/>
          <w:szCs w:val="30"/>
          <w:lang w:val="zh-TW" w:eastAsia="zh-CN"/>
        </w:rPr>
        <w:t>12.</w:t>
      </w:r>
      <w:r>
        <w:rPr>
          <w:rFonts w:hint="eastAsia" w:ascii="楷体_GB2312" w:hAnsi="宋体" w:eastAsia="楷体_GB2312" w:cs="宋体"/>
          <w:b/>
          <w:bCs/>
          <w:kern w:val="0"/>
          <w:sz w:val="30"/>
          <w:szCs w:val="30"/>
          <w:lang w:val="en-US" w:eastAsia="zh-CN"/>
        </w:rPr>
        <w:t>2</w:t>
      </w:r>
      <w:r>
        <w:rPr>
          <w:rFonts w:hint="eastAsia" w:ascii="楷体_GB2312" w:hAnsi="宋体" w:eastAsia="楷体_GB2312" w:cs="宋体"/>
          <w:b/>
          <w:bCs/>
          <w:kern w:val="0"/>
          <w:sz w:val="30"/>
          <w:szCs w:val="30"/>
          <w:lang w:val="zh-TW" w:eastAsia="zh-CN"/>
        </w:rPr>
        <w:t xml:space="preserve">.1 </w:t>
      </w:r>
      <w:r>
        <w:rPr>
          <w:rFonts w:hint="eastAsia" w:ascii="楷体_GB2312" w:hAnsi="宋体" w:eastAsia="楷体_GB2312" w:cs="宋体"/>
          <w:b/>
          <w:bCs/>
          <w:kern w:val="0"/>
          <w:sz w:val="30"/>
          <w:szCs w:val="30"/>
          <w:lang w:val="en-US" w:eastAsia="zh-CN"/>
        </w:rPr>
        <w:t>维护国家粮油安全</w:t>
      </w:r>
      <w:bookmarkEnd w:id="849"/>
      <w:bookmarkEnd w:id="850"/>
    </w:p>
    <w:p w14:paraId="519BD7E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zh-TW" w:eastAsia="zh-CN"/>
        </w:rPr>
        <w:t>项目建成后，</w:t>
      </w:r>
      <w:r>
        <w:rPr>
          <w:rFonts w:hint="eastAsia" w:ascii="Times New Roman" w:hAnsi="Times New Roman" w:eastAsia="仿宋_GB2312" w:cs="Times New Roman"/>
          <w:bCs/>
          <w:kern w:val="0"/>
          <w:sz w:val="28"/>
          <w:szCs w:val="28"/>
          <w:lang w:val="en-US" w:eastAsia="zh-CN"/>
        </w:rPr>
        <w:t>常山县</w:t>
      </w:r>
      <w:r>
        <w:rPr>
          <w:rFonts w:hint="eastAsia" w:ascii="Times New Roman" w:hAnsi="Times New Roman" w:eastAsia="仿宋_GB2312" w:cs="Times New Roman"/>
          <w:bCs/>
          <w:kern w:val="0"/>
          <w:sz w:val="28"/>
          <w:szCs w:val="28"/>
          <w:lang w:val="zh-TW" w:eastAsia="zh-CN"/>
        </w:rPr>
        <w:t>油茶新造将增加</w:t>
      </w:r>
      <w:r>
        <w:rPr>
          <w:rFonts w:hint="eastAsia" w:ascii="Times New Roman" w:hAnsi="Times New Roman" w:eastAsia="仿宋_GB2312" w:cs="Times New Roman"/>
          <w:bCs/>
          <w:kern w:val="0"/>
          <w:sz w:val="28"/>
          <w:szCs w:val="28"/>
          <w:lang w:val="en-US" w:eastAsia="zh-CN"/>
        </w:rPr>
        <w:t>774.9亩</w:t>
      </w:r>
      <w:r>
        <w:rPr>
          <w:rFonts w:hint="eastAsia" w:ascii="Times New Roman" w:hAnsi="Times New Roman" w:eastAsia="仿宋_GB2312" w:cs="Times New Roman"/>
          <w:bCs/>
          <w:kern w:val="0"/>
          <w:sz w:val="28"/>
          <w:szCs w:val="28"/>
          <w:lang w:val="zh-TW" w:eastAsia="zh-CN"/>
        </w:rPr>
        <w:t>，将有助于缓解粮油进口压力，提高油茶籽保供能力，对保障国家粮油安全发挥积极作用。</w:t>
      </w:r>
      <w:r>
        <w:rPr>
          <w:rFonts w:hint="eastAsia" w:ascii="Times New Roman" w:hAnsi="Times New Roman" w:eastAsia="仿宋_GB2312" w:cs="Times New Roman"/>
          <w:bCs/>
          <w:kern w:val="0"/>
          <w:sz w:val="28"/>
          <w:szCs w:val="28"/>
          <w:lang w:val="en-US" w:eastAsia="zh-CN"/>
        </w:rPr>
        <w:t>本片区</w:t>
      </w:r>
      <w:r>
        <w:rPr>
          <w:rFonts w:hint="eastAsia" w:ascii="Times New Roman" w:hAnsi="Times New Roman" w:eastAsia="仿宋_GB2312" w:cs="Times New Roman"/>
          <w:bCs/>
          <w:kern w:val="0"/>
          <w:sz w:val="28"/>
          <w:szCs w:val="28"/>
          <w:lang w:val="zh-TW" w:eastAsia="zh-CN"/>
        </w:rPr>
        <w:t>项目建成后，将提升</w:t>
      </w:r>
      <w:r>
        <w:rPr>
          <w:rFonts w:hint="eastAsia" w:ascii="Times New Roman" w:hAnsi="Times New Roman" w:eastAsia="仿宋_GB2312" w:cs="Times New Roman"/>
          <w:bCs/>
          <w:kern w:val="0"/>
          <w:sz w:val="28"/>
          <w:szCs w:val="28"/>
          <w:lang w:val="en-US" w:eastAsia="zh-CN"/>
        </w:rPr>
        <w:t>全县</w:t>
      </w:r>
      <w:r>
        <w:rPr>
          <w:rFonts w:hint="eastAsia" w:ascii="Times New Roman" w:hAnsi="Times New Roman" w:eastAsia="仿宋_GB2312" w:cs="Times New Roman"/>
          <w:bCs/>
          <w:kern w:val="0"/>
          <w:sz w:val="28"/>
          <w:szCs w:val="28"/>
          <w:lang w:val="zh-TW" w:eastAsia="zh-CN"/>
        </w:rPr>
        <w:t>茶油产量</w:t>
      </w:r>
      <w:r>
        <w:rPr>
          <w:rFonts w:hint="eastAsia" w:ascii="Times New Roman" w:hAnsi="Times New Roman" w:eastAsia="仿宋_GB2312" w:cs="Times New Roman"/>
          <w:bCs/>
          <w:kern w:val="0"/>
          <w:sz w:val="28"/>
          <w:szCs w:val="28"/>
          <w:lang w:val="en-US" w:eastAsia="zh-CN"/>
        </w:rPr>
        <w:t>25吨/</w:t>
      </w:r>
      <w:r>
        <w:rPr>
          <w:rFonts w:hint="eastAsia" w:ascii="Times New Roman" w:hAnsi="Times New Roman" w:eastAsia="仿宋_GB2312" w:cs="Times New Roman"/>
          <w:bCs/>
          <w:kern w:val="0"/>
          <w:sz w:val="28"/>
          <w:szCs w:val="28"/>
          <w:lang w:val="zh-TW" w:eastAsia="zh-CN"/>
        </w:rPr>
        <w:t>每年，有效增加衢州市油茶籽供给能力，大幅提高茶油在现有食用油供给中的比例，缓解食用油的供给矛盾。</w:t>
      </w:r>
    </w:p>
    <w:p w14:paraId="03AD5A94">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outlineLvl w:val="1"/>
        <w:rPr>
          <w:rFonts w:hint="eastAsia" w:ascii="楷体_GB2312" w:hAnsi="宋体" w:eastAsia="楷体_GB2312" w:cs="宋体"/>
          <w:b/>
          <w:bCs/>
          <w:kern w:val="0"/>
          <w:sz w:val="30"/>
          <w:szCs w:val="30"/>
          <w:lang w:val="en-US" w:eastAsia="zh-CN"/>
        </w:rPr>
      </w:pPr>
      <w:bookmarkStart w:id="851" w:name="_Toc14705"/>
      <w:bookmarkStart w:id="852" w:name="_Toc4681"/>
      <w:r>
        <w:rPr>
          <w:rFonts w:hint="eastAsia" w:ascii="楷体_GB2312" w:hAnsi="宋体" w:eastAsia="楷体_GB2312" w:cs="宋体"/>
          <w:b/>
          <w:bCs/>
          <w:kern w:val="0"/>
          <w:sz w:val="30"/>
          <w:szCs w:val="30"/>
          <w:lang w:val="en-US" w:eastAsia="zh-CN"/>
        </w:rPr>
        <w:t>12.2.2 提高人民健康水平</w:t>
      </w:r>
      <w:bookmarkEnd w:id="851"/>
      <w:bookmarkEnd w:id="852"/>
    </w:p>
    <w:p w14:paraId="78119B9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r>
        <w:rPr>
          <w:rFonts w:hint="eastAsia" w:ascii="Times New Roman" w:hAnsi="Times New Roman" w:eastAsia="仿宋_GB2312" w:cs="Times New Roman"/>
          <w:bCs/>
          <w:kern w:val="0"/>
          <w:sz w:val="28"/>
          <w:szCs w:val="28"/>
          <w:lang w:val="en-US" w:eastAsia="zh-CN"/>
        </w:rPr>
        <w:t>目前，我国广大居民主要消费食用油为豆油、菜油等普通油品，高档保健食用油消费的比例较低。茶油是绿色无公害产品，营养价值极高，且具有预防高血压、高血脂和软化血管等保健作用。因此，项目建成后，将有效扩大衢州市品质优良茶油的供应市场，满足广大居民对高档食用油的需要，有助于改善现有食用油的消费结构，提高人民身体素质。</w:t>
      </w:r>
    </w:p>
    <w:p w14:paraId="2FD40609">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outlineLvl w:val="1"/>
        <w:rPr>
          <w:rFonts w:hint="eastAsia" w:ascii="楷体_GB2312" w:hAnsi="宋体" w:eastAsia="楷体_GB2312" w:cs="宋体"/>
          <w:b/>
          <w:bCs/>
          <w:kern w:val="0"/>
          <w:sz w:val="30"/>
          <w:szCs w:val="30"/>
          <w:lang w:val="zh-TW" w:eastAsia="zh-CN"/>
        </w:rPr>
      </w:pPr>
      <w:bookmarkStart w:id="853" w:name="_Toc23701"/>
      <w:bookmarkStart w:id="854" w:name="_Toc8840"/>
      <w:r>
        <w:rPr>
          <w:rFonts w:hint="eastAsia" w:ascii="楷体_GB2312" w:hAnsi="宋体" w:eastAsia="楷体_GB2312" w:cs="宋体"/>
          <w:b/>
          <w:bCs/>
          <w:kern w:val="0"/>
          <w:sz w:val="30"/>
          <w:szCs w:val="30"/>
          <w:lang w:val="zh-TW" w:eastAsia="zh-CN"/>
        </w:rPr>
        <w:t>12.</w:t>
      </w:r>
      <w:r>
        <w:rPr>
          <w:rFonts w:hint="eastAsia" w:ascii="楷体_GB2312" w:hAnsi="宋体" w:eastAsia="楷体_GB2312" w:cs="宋体"/>
          <w:b/>
          <w:bCs/>
          <w:kern w:val="0"/>
          <w:sz w:val="30"/>
          <w:szCs w:val="30"/>
          <w:lang w:val="en-US" w:eastAsia="zh-CN"/>
        </w:rPr>
        <w:t>2</w:t>
      </w:r>
      <w:r>
        <w:rPr>
          <w:rFonts w:hint="eastAsia" w:ascii="楷体_GB2312" w:hAnsi="宋体" w:eastAsia="楷体_GB2312" w:cs="宋体"/>
          <w:b/>
          <w:bCs/>
          <w:kern w:val="0"/>
          <w:sz w:val="30"/>
          <w:szCs w:val="30"/>
          <w:lang w:val="zh-TW" w:eastAsia="zh-CN"/>
        </w:rPr>
        <w:t>.</w:t>
      </w:r>
      <w:r>
        <w:rPr>
          <w:rFonts w:hint="eastAsia" w:ascii="楷体_GB2312" w:hAnsi="宋体" w:eastAsia="楷体_GB2312" w:cs="宋体"/>
          <w:b/>
          <w:bCs/>
          <w:kern w:val="0"/>
          <w:sz w:val="30"/>
          <w:szCs w:val="30"/>
          <w:lang w:val="en-US" w:eastAsia="zh-CN"/>
        </w:rPr>
        <w:t>3</w:t>
      </w:r>
      <w:r>
        <w:rPr>
          <w:rFonts w:hint="eastAsia" w:ascii="楷体_GB2312" w:hAnsi="宋体" w:eastAsia="楷体_GB2312" w:cs="宋体"/>
          <w:b/>
          <w:bCs/>
          <w:kern w:val="0"/>
          <w:sz w:val="30"/>
          <w:szCs w:val="30"/>
          <w:lang w:val="zh-TW" w:eastAsia="zh-CN"/>
        </w:rPr>
        <w:t xml:space="preserve"> </w:t>
      </w:r>
      <w:r>
        <w:rPr>
          <w:rFonts w:hint="eastAsia" w:ascii="楷体_GB2312" w:hAnsi="宋体" w:eastAsia="楷体_GB2312" w:cs="宋体"/>
          <w:b/>
          <w:bCs/>
          <w:kern w:val="0"/>
          <w:sz w:val="30"/>
          <w:szCs w:val="30"/>
          <w:lang w:val="en-US" w:eastAsia="zh-CN"/>
        </w:rPr>
        <w:t>促进全产业链发展</w:t>
      </w:r>
      <w:bookmarkEnd w:id="853"/>
      <w:bookmarkEnd w:id="854"/>
      <w:r>
        <w:rPr>
          <w:rFonts w:hint="eastAsia" w:ascii="楷体_GB2312" w:hAnsi="宋体" w:eastAsia="楷体_GB2312" w:cs="宋体"/>
          <w:b/>
          <w:bCs/>
          <w:kern w:val="0"/>
          <w:sz w:val="30"/>
          <w:szCs w:val="30"/>
          <w:lang w:val="zh-TW" w:eastAsia="zh-CN"/>
        </w:rPr>
        <w:tab/>
      </w:r>
    </w:p>
    <w:p w14:paraId="1A6FBE5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zh-TW" w:eastAsia="zh-CN"/>
        </w:rPr>
        <w:t>项目建设集生态建设、产业发展为一体，融生态产品、林产品供给于一身。通过中央财政奖补项目推进油茶产业链的延伸转化与升级，做大做强优势产业和支柱产业，做精一产，建立高标准油茶林基地，</w:t>
      </w:r>
      <w:r>
        <w:rPr>
          <w:rFonts w:hint="eastAsia" w:ascii="Times New Roman" w:hAnsi="Times New Roman" w:eastAsia="仿宋_GB2312" w:cs="Times New Roman"/>
          <w:bCs/>
          <w:kern w:val="0"/>
          <w:sz w:val="28"/>
          <w:szCs w:val="28"/>
          <w:lang w:val="en-US" w:eastAsia="zh-CN"/>
        </w:rPr>
        <w:t>将大幅</w:t>
      </w:r>
      <w:r>
        <w:rPr>
          <w:rFonts w:hint="eastAsia" w:ascii="Times New Roman" w:hAnsi="Times New Roman" w:eastAsia="仿宋_GB2312" w:cs="Times New Roman"/>
          <w:bCs/>
          <w:kern w:val="0"/>
          <w:sz w:val="28"/>
          <w:szCs w:val="28"/>
          <w:lang w:val="zh-TW" w:eastAsia="zh-CN"/>
        </w:rPr>
        <w:t>提升</w:t>
      </w:r>
      <w:r>
        <w:rPr>
          <w:rFonts w:hint="eastAsia" w:ascii="Times New Roman" w:hAnsi="Times New Roman" w:eastAsia="仿宋_GB2312" w:cs="Times New Roman"/>
          <w:bCs/>
          <w:kern w:val="0"/>
          <w:sz w:val="28"/>
          <w:szCs w:val="28"/>
          <w:lang w:val="en-US" w:eastAsia="zh-CN"/>
        </w:rPr>
        <w:t>衢州</w:t>
      </w:r>
      <w:r>
        <w:rPr>
          <w:rFonts w:hint="eastAsia" w:ascii="Times New Roman" w:hAnsi="Times New Roman" w:eastAsia="仿宋_GB2312" w:cs="Times New Roman"/>
          <w:bCs/>
          <w:kern w:val="0"/>
          <w:sz w:val="28"/>
          <w:szCs w:val="28"/>
          <w:lang w:val="zh-TW" w:eastAsia="zh-CN"/>
        </w:rPr>
        <w:t>油茶的单产和质量，提高油茶籽的保供能力，</w:t>
      </w:r>
      <w:r>
        <w:rPr>
          <w:rFonts w:hint="eastAsia" w:ascii="Times New Roman" w:hAnsi="Times New Roman" w:eastAsia="仿宋_GB2312" w:cs="Times New Roman"/>
          <w:bCs/>
          <w:kern w:val="0"/>
          <w:sz w:val="28"/>
          <w:szCs w:val="28"/>
          <w:lang w:val="en-US" w:eastAsia="zh-CN"/>
        </w:rPr>
        <w:t>为全产业链的发展奠定良好的基础，</w:t>
      </w:r>
      <w:r>
        <w:rPr>
          <w:rFonts w:hint="eastAsia" w:ascii="Times New Roman" w:hAnsi="Times New Roman" w:eastAsia="仿宋_GB2312" w:cs="Times New Roman"/>
          <w:bCs/>
          <w:kern w:val="0"/>
          <w:sz w:val="28"/>
          <w:szCs w:val="28"/>
          <w:lang w:val="zh-TW" w:eastAsia="zh-CN"/>
        </w:rPr>
        <w:t>挺起高质量发展产业</w:t>
      </w:r>
      <w:r>
        <w:rPr>
          <w:rFonts w:hint="eastAsia" w:ascii="Times New Roman" w:hAnsi="Times New Roman" w:eastAsia="仿宋_GB2312" w:cs="Times New Roman"/>
          <w:bCs/>
          <w:kern w:val="0"/>
          <w:sz w:val="28"/>
          <w:szCs w:val="28"/>
          <w:lang w:val="en-US" w:eastAsia="zh-CN"/>
        </w:rPr>
        <w:t>的</w:t>
      </w:r>
      <w:r>
        <w:rPr>
          <w:rFonts w:hint="eastAsia" w:ascii="Times New Roman" w:hAnsi="Times New Roman" w:eastAsia="仿宋_GB2312" w:cs="Times New Roman"/>
          <w:bCs/>
          <w:kern w:val="0"/>
          <w:sz w:val="28"/>
          <w:szCs w:val="28"/>
          <w:lang w:val="zh-TW" w:eastAsia="zh-CN"/>
        </w:rPr>
        <w:t>“脊梁”</w:t>
      </w:r>
    </w:p>
    <w:p w14:paraId="378459F6">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en-US" w:eastAsia="zh-CN"/>
        </w:rPr>
      </w:pPr>
      <w:bookmarkStart w:id="855" w:name="_Toc18958"/>
      <w:bookmarkStart w:id="856" w:name="_Toc25775"/>
      <w:bookmarkStart w:id="857" w:name="_Toc32022"/>
      <w:bookmarkStart w:id="858" w:name="_Toc6791"/>
      <w:r>
        <w:rPr>
          <w:rFonts w:hint="eastAsia" w:ascii="黑体" w:hAnsi="黑体" w:cs="Times New Roman"/>
          <w:bCs w:val="0"/>
          <w:kern w:val="0"/>
          <w:sz w:val="32"/>
          <w:szCs w:val="32"/>
          <w:lang w:val="en-US" w:eastAsia="zh-CN"/>
        </w:rPr>
        <w:t>12.3 经济效益分析</w:t>
      </w:r>
      <w:bookmarkEnd w:id="855"/>
      <w:bookmarkEnd w:id="856"/>
      <w:bookmarkEnd w:id="857"/>
      <w:bookmarkEnd w:id="858"/>
    </w:p>
    <w:p w14:paraId="3408891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zh-TW" w:eastAsia="zh-CN"/>
        </w:rPr>
        <w:t>从经济评价指标看，本项目投资经济效果较好。</w:t>
      </w:r>
      <w:r>
        <w:rPr>
          <w:rFonts w:hint="eastAsia" w:ascii="Times New Roman" w:hAnsi="Times New Roman" w:eastAsia="仿宋_GB2312" w:cs="Times New Roman"/>
          <w:bCs/>
          <w:kern w:val="0"/>
          <w:sz w:val="28"/>
          <w:szCs w:val="28"/>
          <w:lang w:val="en-US" w:eastAsia="zh-CN"/>
        </w:rPr>
        <w:t>根据设计茶籽产量90千克/亩˙年的标准计算，项目建成后年生产油茶籽73.62吨</w:t>
      </w:r>
      <w:r>
        <w:rPr>
          <w:rFonts w:hint="eastAsia" w:ascii="Times New Roman" w:hAnsi="Times New Roman" w:eastAsia="仿宋_GB2312" w:cs="Times New Roman"/>
          <w:bCs/>
          <w:kern w:val="0"/>
          <w:sz w:val="28"/>
          <w:szCs w:val="28"/>
          <w:lang w:val="zh-TW" w:eastAsia="zh-CN"/>
        </w:rPr>
        <w:t>，</w:t>
      </w:r>
      <w:r>
        <w:rPr>
          <w:rFonts w:hint="eastAsia" w:ascii="Times New Roman" w:hAnsi="Times New Roman" w:eastAsia="仿宋_GB2312" w:cs="Times New Roman"/>
          <w:bCs/>
          <w:kern w:val="0"/>
          <w:sz w:val="28"/>
          <w:szCs w:val="28"/>
          <w:lang w:val="en-US" w:eastAsia="zh-CN"/>
        </w:rPr>
        <w:t>按市场价18元/千克计算，直接经济效益可达到132.51万元/年</w:t>
      </w:r>
      <w:r>
        <w:rPr>
          <w:rFonts w:hint="eastAsia" w:ascii="Times New Roman" w:hAnsi="Times New Roman" w:eastAsia="仿宋_GB2312" w:cs="Times New Roman"/>
          <w:bCs/>
          <w:kern w:val="0"/>
          <w:sz w:val="28"/>
          <w:szCs w:val="28"/>
          <w:lang w:val="zh-TW" w:eastAsia="zh-CN"/>
        </w:rPr>
        <w:t>，为</w:t>
      </w:r>
      <w:r>
        <w:rPr>
          <w:rFonts w:hint="eastAsia" w:ascii="Times New Roman" w:hAnsi="Times New Roman" w:eastAsia="仿宋_GB2312" w:cs="Times New Roman"/>
          <w:bCs/>
          <w:kern w:val="0"/>
          <w:sz w:val="28"/>
          <w:szCs w:val="28"/>
          <w:lang w:val="en-US" w:eastAsia="zh-CN"/>
        </w:rPr>
        <w:t>常山县</w:t>
      </w:r>
      <w:r>
        <w:rPr>
          <w:rFonts w:hint="eastAsia" w:ascii="Times New Roman" w:hAnsi="Times New Roman" w:eastAsia="仿宋_GB2312" w:cs="Times New Roman"/>
          <w:bCs/>
          <w:kern w:val="0"/>
          <w:sz w:val="28"/>
          <w:szCs w:val="28"/>
          <w:lang w:val="zh-TW" w:eastAsia="zh-CN"/>
        </w:rPr>
        <w:t>油茶产业发展和当地社会经济发展做出巨大贡献。项目在经济的带动作用</w:t>
      </w:r>
      <w:r>
        <w:rPr>
          <w:rFonts w:hint="eastAsia" w:ascii="Times New Roman" w:hAnsi="Times New Roman" w:eastAsia="仿宋_GB2312" w:cs="Times New Roman"/>
          <w:bCs/>
          <w:kern w:val="0"/>
          <w:sz w:val="28"/>
          <w:szCs w:val="28"/>
          <w:lang w:val="en-US" w:eastAsia="zh-CN"/>
        </w:rPr>
        <w:t>还</w:t>
      </w:r>
      <w:r>
        <w:rPr>
          <w:rFonts w:hint="eastAsia" w:ascii="Times New Roman" w:hAnsi="Times New Roman" w:eastAsia="仿宋_GB2312" w:cs="Times New Roman"/>
          <w:bCs/>
          <w:kern w:val="0"/>
          <w:sz w:val="28"/>
          <w:szCs w:val="28"/>
          <w:lang w:val="zh-TW" w:eastAsia="zh-CN"/>
        </w:rPr>
        <w:t>体现在如下几个方面。</w:t>
      </w:r>
    </w:p>
    <w:p w14:paraId="70E00631">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outlineLvl w:val="1"/>
        <w:rPr>
          <w:rFonts w:hint="eastAsia" w:ascii="楷体_GB2312" w:hAnsi="宋体" w:eastAsia="楷体_GB2312" w:cs="宋体"/>
          <w:b/>
          <w:bCs/>
          <w:kern w:val="0"/>
          <w:sz w:val="30"/>
          <w:szCs w:val="30"/>
          <w:lang w:val="zh-TW" w:eastAsia="zh-CN"/>
        </w:rPr>
      </w:pPr>
      <w:bookmarkStart w:id="859" w:name="_Toc27350"/>
      <w:bookmarkStart w:id="860" w:name="_Toc22664"/>
      <w:r>
        <w:rPr>
          <w:rFonts w:hint="eastAsia" w:ascii="楷体_GB2312" w:hAnsi="宋体" w:eastAsia="楷体_GB2312" w:cs="宋体"/>
          <w:b/>
          <w:bCs/>
          <w:kern w:val="0"/>
          <w:sz w:val="30"/>
          <w:szCs w:val="30"/>
          <w:lang w:val="zh-TW" w:eastAsia="zh-CN"/>
        </w:rPr>
        <w:t>12.3.1 扩大农村林农劳动就业</w:t>
      </w:r>
      <w:bookmarkEnd w:id="859"/>
      <w:bookmarkEnd w:id="860"/>
    </w:p>
    <w:p w14:paraId="61E09C5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zh-TW" w:eastAsia="zh-CN"/>
        </w:rPr>
        <w:t>中央财政油茶产业发展示范项目期间可以提供大量的劳动力就业机会，有利于项目区产业结构调整与发展，并且可以采取以工代赈方式扩大当地群众务工范围，有利于提高林农收入和改善群众生活。据统计，建设期间（</w:t>
      </w:r>
      <w:r>
        <w:rPr>
          <w:rFonts w:hint="eastAsia" w:ascii="Times New Roman" w:hAnsi="Times New Roman" w:eastAsia="仿宋_GB2312" w:cs="Times New Roman"/>
          <w:bCs/>
          <w:kern w:val="0"/>
          <w:sz w:val="28"/>
          <w:szCs w:val="28"/>
          <w:lang w:val="en-US" w:eastAsia="zh-CN"/>
        </w:rPr>
        <w:t>含抚育期</w:t>
      </w:r>
      <w:r>
        <w:rPr>
          <w:rFonts w:hint="eastAsia" w:ascii="Times New Roman" w:hAnsi="Times New Roman" w:eastAsia="仿宋_GB2312" w:cs="Times New Roman"/>
          <w:bCs/>
          <w:kern w:val="0"/>
          <w:sz w:val="28"/>
          <w:szCs w:val="28"/>
          <w:lang w:val="zh-TW" w:eastAsia="zh-CN"/>
        </w:rPr>
        <w:t>）</w:t>
      </w:r>
      <w:r>
        <w:rPr>
          <w:rFonts w:hint="eastAsia" w:ascii="Times New Roman" w:hAnsi="Times New Roman" w:eastAsia="仿宋_GB2312" w:cs="Times New Roman"/>
          <w:bCs/>
          <w:kern w:val="0"/>
          <w:sz w:val="28"/>
          <w:szCs w:val="28"/>
          <w:lang w:val="en-US" w:eastAsia="zh-CN"/>
        </w:rPr>
        <w:t>共</w:t>
      </w:r>
      <w:r>
        <w:rPr>
          <w:rFonts w:hint="eastAsia" w:ascii="Times New Roman" w:hAnsi="Times New Roman" w:eastAsia="仿宋_GB2312" w:cs="Times New Roman"/>
          <w:bCs/>
          <w:kern w:val="0"/>
          <w:sz w:val="28"/>
          <w:szCs w:val="28"/>
          <w:lang w:val="zh-TW" w:eastAsia="zh-CN"/>
        </w:rPr>
        <w:t>需约</w:t>
      </w:r>
      <w:r>
        <w:rPr>
          <w:rFonts w:hint="eastAsia" w:ascii="Times New Roman" w:hAnsi="Times New Roman" w:eastAsia="仿宋_GB2312" w:cs="Times New Roman"/>
          <w:bCs/>
          <w:kern w:val="0"/>
          <w:sz w:val="28"/>
          <w:szCs w:val="28"/>
          <w:lang w:val="en-US" w:eastAsia="zh-CN"/>
        </w:rPr>
        <w:t>1.8</w:t>
      </w:r>
      <w:r>
        <w:rPr>
          <w:rFonts w:hint="eastAsia" w:ascii="Times New Roman" w:hAnsi="Times New Roman" w:eastAsia="仿宋_GB2312" w:cs="Times New Roman"/>
          <w:bCs/>
          <w:kern w:val="0"/>
          <w:sz w:val="28"/>
          <w:szCs w:val="28"/>
          <w:lang w:val="zh-TW" w:eastAsia="zh-CN"/>
        </w:rPr>
        <w:t>万个工日（按标准用工定额计算），按每年250个工作日计算，每年可提供约</w:t>
      </w:r>
      <w:r>
        <w:rPr>
          <w:rFonts w:hint="eastAsia" w:ascii="Times New Roman" w:hAnsi="Times New Roman" w:eastAsia="仿宋_GB2312" w:cs="Times New Roman"/>
          <w:bCs/>
          <w:kern w:val="0"/>
          <w:sz w:val="28"/>
          <w:szCs w:val="28"/>
          <w:lang w:val="en-US" w:eastAsia="zh-CN"/>
        </w:rPr>
        <w:t>72</w:t>
      </w:r>
      <w:r>
        <w:rPr>
          <w:rFonts w:hint="eastAsia" w:ascii="Times New Roman" w:hAnsi="Times New Roman" w:eastAsia="仿宋_GB2312" w:cs="Times New Roman"/>
          <w:bCs/>
          <w:kern w:val="0"/>
          <w:sz w:val="28"/>
          <w:szCs w:val="28"/>
          <w:lang w:val="zh-TW" w:eastAsia="zh-CN"/>
        </w:rPr>
        <w:t>个就业岗位，抚育管理、销售管理等项目运营活动也将持续提供用工需求。另外，</w:t>
      </w:r>
      <w:r>
        <w:rPr>
          <w:rFonts w:hint="eastAsia" w:ascii="Times New Roman" w:hAnsi="Times New Roman" w:eastAsia="仿宋_GB2312" w:cs="Times New Roman"/>
          <w:bCs/>
          <w:kern w:val="0"/>
          <w:sz w:val="28"/>
          <w:szCs w:val="28"/>
          <w:lang w:val="en-US" w:eastAsia="zh-CN"/>
        </w:rPr>
        <w:t>林地租赁</w:t>
      </w:r>
      <w:r>
        <w:rPr>
          <w:rFonts w:hint="eastAsia" w:ascii="Times New Roman" w:hAnsi="Times New Roman" w:eastAsia="仿宋_GB2312" w:cs="Times New Roman"/>
          <w:bCs/>
          <w:kern w:val="0"/>
          <w:sz w:val="28"/>
          <w:szCs w:val="28"/>
          <w:lang w:val="zh-TW" w:eastAsia="zh-CN"/>
        </w:rPr>
        <w:t>以及油茶产业</w:t>
      </w:r>
      <w:r>
        <w:rPr>
          <w:rFonts w:hint="eastAsia" w:ascii="Times New Roman" w:hAnsi="Times New Roman" w:eastAsia="仿宋_GB2312" w:cs="Times New Roman"/>
          <w:bCs/>
          <w:kern w:val="0"/>
          <w:sz w:val="28"/>
          <w:szCs w:val="28"/>
          <w:lang w:val="en-US" w:eastAsia="zh-CN"/>
        </w:rPr>
        <w:t>带动</w:t>
      </w:r>
      <w:r>
        <w:rPr>
          <w:rFonts w:hint="eastAsia" w:ascii="Times New Roman" w:hAnsi="Times New Roman" w:eastAsia="仿宋_GB2312" w:cs="Times New Roman"/>
          <w:bCs/>
          <w:kern w:val="0"/>
          <w:sz w:val="28"/>
          <w:szCs w:val="28"/>
          <w:lang w:val="zh-TW" w:eastAsia="zh-CN"/>
        </w:rPr>
        <w:t>等还将带来直接、间接的收入，同时还可带动运输、物资生产等相关产业的发展，促进地方经济建设。</w:t>
      </w:r>
    </w:p>
    <w:p w14:paraId="3949CE81">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outlineLvl w:val="1"/>
        <w:rPr>
          <w:rFonts w:hint="eastAsia" w:ascii="楷体_GB2312" w:hAnsi="宋体" w:eastAsia="楷体_GB2312" w:cs="宋体"/>
          <w:b/>
          <w:bCs/>
          <w:kern w:val="0"/>
          <w:sz w:val="30"/>
          <w:szCs w:val="30"/>
          <w:lang w:val="zh-TW" w:eastAsia="zh-CN"/>
        </w:rPr>
      </w:pPr>
      <w:bookmarkStart w:id="861" w:name="_Toc17070"/>
      <w:bookmarkStart w:id="862" w:name="_Toc21932"/>
      <w:r>
        <w:rPr>
          <w:rFonts w:hint="eastAsia" w:ascii="楷体_GB2312" w:hAnsi="宋体" w:eastAsia="楷体_GB2312" w:cs="宋体"/>
          <w:b/>
          <w:bCs/>
          <w:kern w:val="0"/>
          <w:sz w:val="30"/>
          <w:szCs w:val="30"/>
          <w:lang w:val="zh-TW" w:eastAsia="zh-CN"/>
        </w:rPr>
        <w:t>12.3.2 加快林业科学技术进步</w:t>
      </w:r>
      <w:bookmarkEnd w:id="861"/>
      <w:bookmarkEnd w:id="862"/>
    </w:p>
    <w:p w14:paraId="598DE7B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zh-TW" w:eastAsia="zh-CN"/>
        </w:rPr>
        <w:t>对从业人员进行技术培训，加强人员素质和综合能力，推广良种，全部使用优良种苗和集约经营培育措施，加强质量监督管理，充分利用土地生产力，实现增产增效的粮油发展目标。同时要强化高新技术及其产业化工作，加快产品开发和产业化，形成完整产业链。加强政策引导和扶持，着力培育和壮大一批有基础、有条件、有特色，具有广阔市场前景的新兴产业。</w:t>
      </w:r>
    </w:p>
    <w:p w14:paraId="4B3C18E8">
      <w:pPr>
        <w:pStyle w:val="4"/>
        <w:keepNext/>
        <w:keepLines/>
        <w:pageBreakBefore w:val="0"/>
        <w:widowControl w:val="0"/>
        <w:kinsoku/>
        <w:wordWrap/>
        <w:overflowPunct/>
        <w:topLinePunct w:val="0"/>
        <w:autoSpaceDE/>
        <w:autoSpaceDN/>
        <w:bidi w:val="0"/>
        <w:adjustRightInd/>
        <w:snapToGrid/>
        <w:spacing w:before="163" w:beforeLines="50" w:beforeAutospacing="0" w:after="163" w:afterLines="50" w:afterAutospacing="0" w:line="360" w:lineRule="auto"/>
        <w:ind w:firstLine="602" w:firstLineChars="200"/>
        <w:jc w:val="left"/>
        <w:textAlignment w:val="auto"/>
        <w:outlineLvl w:val="1"/>
        <w:rPr>
          <w:rFonts w:hint="eastAsia" w:ascii="楷体_GB2312" w:hAnsi="宋体" w:eastAsia="楷体_GB2312" w:cs="宋体"/>
          <w:b/>
          <w:bCs/>
          <w:kern w:val="0"/>
          <w:sz w:val="30"/>
          <w:szCs w:val="30"/>
          <w:lang w:val="zh-TW" w:eastAsia="zh-CN"/>
        </w:rPr>
      </w:pPr>
      <w:bookmarkStart w:id="863" w:name="_Toc32122"/>
      <w:bookmarkStart w:id="864" w:name="_Toc27435"/>
      <w:r>
        <w:rPr>
          <w:rFonts w:hint="eastAsia" w:ascii="楷体_GB2312" w:hAnsi="宋体" w:eastAsia="楷体_GB2312" w:cs="宋体"/>
          <w:b/>
          <w:bCs/>
          <w:kern w:val="0"/>
          <w:sz w:val="30"/>
          <w:szCs w:val="30"/>
          <w:lang w:val="zh-TW" w:eastAsia="zh-CN"/>
        </w:rPr>
        <w:t>12.3.3 助推共同富裕示范建设</w:t>
      </w:r>
      <w:bookmarkEnd w:id="863"/>
      <w:bookmarkEnd w:id="864"/>
    </w:p>
    <w:p w14:paraId="280AD5F5">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zh-TW" w:eastAsia="zh-CN"/>
        </w:rPr>
        <w:t>项目实施可将资源优势转为产业优势，结合集体林权制度改革和农村土地政策，项目的实施可以长期持续稳定地增加农民收入，加快项目区及周边群众脱贫致富。2023年中央一号文件明确提出支持木本油料发展，实施加快油茶产业发展三年行动计划。油茶产业成为实现林业产业现代化、助力乡村振兴的新引擎。发展高标准油茶种植，带动林农种植积极性，延长和壮大油茶产业链，不仅可以切实解决山区林农依托本地资源就业问题，而且可以增加山区林农经济收入，推动山区跨区域发展，打造油茶共富样板区。</w:t>
      </w:r>
    </w:p>
    <w:p w14:paraId="4CE51AE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p>
    <w:p w14:paraId="1A7EC15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pPr>
      <w:bookmarkStart w:id="865" w:name="_Toc32379"/>
      <w:bookmarkStart w:id="866" w:name="_Toc1325"/>
      <w:bookmarkStart w:id="867" w:name="_Toc15386"/>
      <w:bookmarkStart w:id="868" w:name="_Toc135903046"/>
      <w:bookmarkStart w:id="869" w:name="_Toc8180"/>
      <w:bookmarkStart w:id="870" w:name="_Toc113286411"/>
      <w:bookmarkStart w:id="871" w:name="_Toc27297"/>
      <w:bookmarkStart w:id="872" w:name="_Toc10112"/>
      <w:bookmarkStart w:id="873" w:name="_Toc17187"/>
      <w:bookmarkStart w:id="874" w:name="_Toc14357"/>
      <w:bookmarkStart w:id="875" w:name="_Toc7566"/>
      <w:r>
        <w:rPr>
          <w:rFonts w:hint="eastAsia" w:ascii="Times New Roman" w:hAnsi="Times New Roman" w:eastAsia="仿宋_GB2312" w:cs="Times New Roman"/>
          <w:bCs/>
          <w:kern w:val="0"/>
          <w:sz w:val="28"/>
          <w:szCs w:val="28"/>
          <w:lang w:val="en-US" w:eastAsia="zh-CN"/>
        </w:rPr>
        <w:br w:type="page"/>
      </w:r>
    </w:p>
    <w:p w14:paraId="7B74C83D">
      <w:pPr>
        <w:pStyle w:val="2"/>
        <w:pageBreakBefore w:val="0"/>
        <w:widowControl w:val="0"/>
        <w:kinsoku/>
        <w:wordWrap/>
        <w:overflowPunct/>
        <w:topLinePunct w:val="0"/>
        <w:bidi w:val="0"/>
        <w:snapToGrid/>
        <w:spacing w:before="326" w:beforeLines="100" w:after="326" w:afterLines="100" w:line="360" w:lineRule="auto"/>
        <w:ind w:right="0" w:rightChars="0" w:firstLine="0" w:firstLineChars="0"/>
        <w:jc w:val="center"/>
        <w:rPr>
          <w:rFonts w:hint="eastAsia" w:ascii="黑体" w:hAnsi="黑体" w:eastAsia="黑体" w:cs="Times New Roman"/>
          <w:b/>
          <w:bCs w:val="0"/>
          <w:sz w:val="36"/>
          <w:szCs w:val="36"/>
          <w:lang w:val="en-US" w:eastAsia="zh-CN"/>
        </w:rPr>
      </w:pPr>
      <w:bookmarkStart w:id="876" w:name="_Toc21721"/>
      <w:r>
        <w:rPr>
          <w:rFonts w:hint="eastAsia" w:ascii="黑体" w:hAnsi="黑体" w:eastAsia="黑体" w:cs="Times New Roman"/>
          <w:b/>
          <w:bCs w:val="0"/>
          <w:sz w:val="36"/>
          <w:szCs w:val="36"/>
          <w:lang w:val="en-US" w:eastAsia="zh-CN"/>
        </w:rPr>
        <w:t>第十</w:t>
      </w:r>
      <w:r>
        <w:rPr>
          <w:rFonts w:hint="eastAsia" w:cs="Times New Roman"/>
          <w:b/>
          <w:bCs w:val="0"/>
          <w:sz w:val="36"/>
          <w:szCs w:val="36"/>
          <w:lang w:val="en-US" w:eastAsia="zh-CN"/>
        </w:rPr>
        <w:t>三</w:t>
      </w:r>
      <w:r>
        <w:rPr>
          <w:rFonts w:hint="eastAsia" w:ascii="黑体" w:hAnsi="黑体" w:eastAsia="黑体" w:cs="Times New Roman"/>
          <w:b/>
          <w:bCs w:val="0"/>
          <w:sz w:val="36"/>
          <w:szCs w:val="36"/>
          <w:lang w:val="en-US" w:eastAsia="zh-CN"/>
        </w:rPr>
        <w:t xml:space="preserve">章  </w:t>
      </w:r>
      <w:bookmarkStart w:id="877" w:name="_bookmark48"/>
      <w:bookmarkEnd w:id="877"/>
      <w:r>
        <w:rPr>
          <w:rFonts w:hint="eastAsia" w:ascii="黑体" w:hAnsi="黑体" w:eastAsia="黑体" w:cs="Times New Roman"/>
          <w:b/>
          <w:bCs w:val="0"/>
          <w:sz w:val="36"/>
          <w:szCs w:val="36"/>
          <w:lang w:val="en-US" w:eastAsia="zh-CN"/>
        </w:rPr>
        <w:t>结论</w:t>
      </w:r>
      <w:bookmarkEnd w:id="865"/>
      <w:bookmarkEnd w:id="866"/>
      <w:bookmarkEnd w:id="867"/>
      <w:bookmarkEnd w:id="868"/>
      <w:bookmarkEnd w:id="869"/>
      <w:bookmarkEnd w:id="870"/>
      <w:bookmarkEnd w:id="871"/>
      <w:bookmarkEnd w:id="872"/>
      <w:bookmarkEnd w:id="873"/>
      <w:bookmarkEnd w:id="874"/>
      <w:r>
        <w:rPr>
          <w:rFonts w:hint="eastAsia" w:cs="Times New Roman"/>
          <w:b/>
          <w:bCs w:val="0"/>
          <w:sz w:val="36"/>
          <w:szCs w:val="36"/>
          <w:lang w:val="en-US" w:eastAsia="zh-CN"/>
        </w:rPr>
        <w:t>与建议</w:t>
      </w:r>
      <w:bookmarkEnd w:id="875"/>
      <w:bookmarkEnd w:id="876"/>
    </w:p>
    <w:p w14:paraId="2FAC3E88">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zh-TW" w:eastAsia="zh-CN"/>
        </w:rPr>
      </w:pPr>
      <w:bookmarkStart w:id="878" w:name="12.1.研究结论"/>
      <w:bookmarkEnd w:id="878"/>
      <w:bookmarkStart w:id="879" w:name="_bookmark49"/>
      <w:bookmarkEnd w:id="879"/>
      <w:bookmarkStart w:id="880" w:name="_Toc1098"/>
      <w:bookmarkStart w:id="881" w:name="_Toc135903047"/>
      <w:bookmarkStart w:id="882" w:name="_Toc14820"/>
      <w:bookmarkStart w:id="883" w:name="_Toc22345"/>
      <w:bookmarkStart w:id="884" w:name="_Toc12379"/>
      <w:bookmarkStart w:id="885" w:name="_Toc16994"/>
      <w:bookmarkStart w:id="886" w:name="_Toc27993"/>
      <w:bookmarkStart w:id="887" w:name="_Toc21706"/>
      <w:bookmarkStart w:id="888" w:name="_Toc31036"/>
      <w:bookmarkStart w:id="889" w:name="_Toc28149"/>
      <w:bookmarkStart w:id="890" w:name="_Toc23924"/>
      <w:bookmarkStart w:id="891" w:name="_Toc113286412"/>
      <w:r>
        <w:rPr>
          <w:rFonts w:hint="eastAsia" w:ascii="黑体" w:hAnsi="黑体" w:cs="Times New Roman"/>
          <w:bCs w:val="0"/>
          <w:kern w:val="0"/>
          <w:sz w:val="32"/>
          <w:szCs w:val="32"/>
          <w:lang w:val="zh-TW" w:eastAsia="zh-CN"/>
        </w:rPr>
        <w:t>1</w:t>
      </w:r>
      <w:r>
        <w:rPr>
          <w:rFonts w:hint="eastAsia" w:ascii="黑体" w:hAnsi="黑体" w:cs="Times New Roman"/>
          <w:bCs w:val="0"/>
          <w:kern w:val="0"/>
          <w:sz w:val="32"/>
          <w:szCs w:val="32"/>
          <w:lang w:val="en-US" w:eastAsia="zh-CN"/>
        </w:rPr>
        <w:t>3</w:t>
      </w:r>
      <w:r>
        <w:rPr>
          <w:rFonts w:hint="eastAsia" w:ascii="黑体" w:hAnsi="黑体" w:cs="Times New Roman"/>
          <w:bCs w:val="0"/>
          <w:kern w:val="0"/>
          <w:sz w:val="32"/>
          <w:szCs w:val="32"/>
          <w:lang w:val="zh-TW" w:eastAsia="zh-CN"/>
        </w:rPr>
        <w:t>.1 主要结论</w:t>
      </w:r>
      <w:bookmarkEnd w:id="880"/>
      <w:bookmarkEnd w:id="881"/>
      <w:bookmarkEnd w:id="882"/>
      <w:bookmarkEnd w:id="883"/>
      <w:bookmarkEnd w:id="884"/>
      <w:bookmarkEnd w:id="885"/>
      <w:bookmarkEnd w:id="886"/>
      <w:bookmarkEnd w:id="887"/>
      <w:bookmarkEnd w:id="888"/>
      <w:bookmarkEnd w:id="889"/>
      <w:bookmarkEnd w:id="890"/>
      <w:bookmarkEnd w:id="891"/>
    </w:p>
    <w:p w14:paraId="7387C8FF">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bookmarkStart w:id="892" w:name="12.2.建议"/>
      <w:bookmarkEnd w:id="892"/>
      <w:bookmarkStart w:id="893" w:name="_bookmark50"/>
      <w:bookmarkEnd w:id="893"/>
      <w:bookmarkStart w:id="894" w:name="_Toc18067"/>
      <w:bookmarkStart w:id="895" w:name="_Toc113286413"/>
      <w:bookmarkStart w:id="896" w:name="_Toc2082"/>
      <w:bookmarkStart w:id="897" w:name="_Toc15820"/>
      <w:bookmarkStart w:id="898" w:name="_Toc25765"/>
      <w:bookmarkStart w:id="899" w:name="_Toc26273"/>
      <w:bookmarkStart w:id="900" w:name="_Toc18246"/>
      <w:bookmarkStart w:id="901" w:name="_Toc135903048"/>
      <w:r>
        <w:rPr>
          <w:rFonts w:hint="eastAsia" w:ascii="Times New Roman" w:hAnsi="Times New Roman" w:eastAsia="仿宋_GB2312" w:cs="Times New Roman"/>
          <w:bCs/>
          <w:kern w:val="0"/>
          <w:sz w:val="28"/>
          <w:szCs w:val="28"/>
          <w:lang w:val="zh-TW" w:eastAsia="zh-CN"/>
        </w:rPr>
        <w:t>（1）本项目为浙江省衢州市中央财政油茶产业发展示范奖补项目的重要组成部分，项目建设符合国家油茶保供等相关政策，对牢记习近平总书记殷殷嘱托，维护国家粮油安全，护航“健康中国”战略，优化提升食用油消费结构，助推浙江高质量发展建设共同富裕示范区，实现乡村振兴，打造诗画浙江大花园最美核心区，保障四省边际生态安全等意义重大，项目建设具有必要性。</w:t>
      </w:r>
    </w:p>
    <w:p w14:paraId="099773CA">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zh-TW" w:eastAsia="zh-CN"/>
        </w:rPr>
        <w:t>（2）常山县油茶发展历史悠久，油茶面积基数大，立地条件符合油茶用地需要，具有油茶发展的先天优势，当地群众积极性高，土地流转难度较小。项目用地选择上不涉及耕地、永久基本农田及重点生态区位，符合“三区三线”管控、“非农化”“非粮化”和《关于保障油茶生产用地的通知》等要求，用地</w:t>
      </w:r>
      <w:r>
        <w:rPr>
          <w:rFonts w:hint="eastAsia" w:ascii="Times New Roman" w:hAnsi="Times New Roman" w:eastAsia="仿宋_GB2312" w:cs="Times New Roman"/>
          <w:bCs/>
          <w:kern w:val="0"/>
          <w:sz w:val="28"/>
          <w:szCs w:val="28"/>
          <w:lang w:val="en-US" w:eastAsia="zh-CN"/>
        </w:rPr>
        <w:t>范围符合相关规定</w:t>
      </w:r>
      <w:r>
        <w:rPr>
          <w:rFonts w:hint="eastAsia" w:ascii="Times New Roman" w:hAnsi="Times New Roman" w:eastAsia="仿宋_GB2312" w:cs="Times New Roman"/>
          <w:bCs/>
          <w:kern w:val="0"/>
          <w:sz w:val="28"/>
          <w:szCs w:val="28"/>
          <w:lang w:val="zh-TW" w:eastAsia="zh-CN"/>
        </w:rPr>
        <w:t>。</w:t>
      </w:r>
    </w:p>
    <w:p w14:paraId="583DFB4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zh-TW" w:eastAsia="zh-CN"/>
        </w:rPr>
        <w:t>（3）项目营造</w:t>
      </w:r>
      <w:r>
        <w:rPr>
          <w:rFonts w:hint="eastAsia" w:ascii="Times New Roman" w:hAnsi="Times New Roman" w:eastAsia="仿宋_GB2312" w:cs="Times New Roman"/>
          <w:bCs/>
          <w:kern w:val="0"/>
          <w:sz w:val="28"/>
          <w:szCs w:val="28"/>
          <w:lang w:val="en-US" w:eastAsia="zh-CN"/>
        </w:rPr>
        <w:t>高标准</w:t>
      </w:r>
      <w:r>
        <w:rPr>
          <w:rFonts w:hint="eastAsia" w:ascii="Times New Roman" w:hAnsi="Times New Roman" w:eastAsia="仿宋_GB2312" w:cs="Times New Roman"/>
          <w:bCs/>
          <w:kern w:val="0"/>
          <w:sz w:val="28"/>
          <w:szCs w:val="28"/>
          <w:lang w:val="zh-TW" w:eastAsia="zh-CN"/>
        </w:rPr>
        <w:t>油茶</w:t>
      </w:r>
      <w:r>
        <w:rPr>
          <w:rFonts w:hint="eastAsia" w:ascii="Times New Roman" w:hAnsi="Times New Roman" w:eastAsia="仿宋_GB2312" w:cs="Times New Roman"/>
          <w:bCs/>
          <w:kern w:val="0"/>
          <w:sz w:val="28"/>
          <w:szCs w:val="28"/>
          <w:lang w:val="en-US" w:eastAsia="zh-CN"/>
        </w:rPr>
        <w:t>774.9亩</w:t>
      </w:r>
      <w:r>
        <w:rPr>
          <w:rFonts w:hint="eastAsia" w:ascii="Times New Roman" w:hAnsi="Times New Roman" w:eastAsia="仿宋_GB2312" w:cs="Times New Roman"/>
          <w:bCs/>
          <w:kern w:val="0"/>
          <w:sz w:val="28"/>
          <w:szCs w:val="28"/>
          <w:lang w:val="zh-TW" w:eastAsia="zh-CN"/>
        </w:rPr>
        <w:t>并配套水肥一体化、作业道路等配套设施，油茶品种推荐适合浙江省区域种植的良种，品种</w:t>
      </w:r>
      <w:r>
        <w:rPr>
          <w:rFonts w:hint="eastAsia" w:ascii="Times New Roman" w:hAnsi="Times New Roman" w:eastAsia="仿宋_GB2312" w:cs="Times New Roman"/>
          <w:bCs/>
          <w:kern w:val="0"/>
          <w:sz w:val="28"/>
          <w:szCs w:val="28"/>
          <w:lang w:val="en-US" w:eastAsia="zh-CN"/>
        </w:rPr>
        <w:t>搭配</w:t>
      </w:r>
      <w:r>
        <w:rPr>
          <w:rFonts w:hint="eastAsia" w:ascii="Times New Roman" w:hAnsi="Times New Roman" w:eastAsia="仿宋_GB2312" w:cs="Times New Roman"/>
          <w:bCs/>
          <w:kern w:val="0"/>
          <w:sz w:val="28"/>
          <w:szCs w:val="28"/>
          <w:lang w:val="zh-TW" w:eastAsia="zh-CN"/>
        </w:rPr>
        <w:t>和配置方式科学，营造林技术、水肥一体化、林区道路等</w:t>
      </w:r>
      <w:r>
        <w:rPr>
          <w:rFonts w:hint="eastAsia" w:ascii="Times New Roman" w:hAnsi="Times New Roman" w:eastAsia="仿宋_GB2312" w:cs="Times New Roman"/>
          <w:bCs/>
          <w:kern w:val="0"/>
          <w:sz w:val="28"/>
          <w:szCs w:val="28"/>
          <w:lang w:val="en-US" w:eastAsia="zh-CN"/>
        </w:rPr>
        <w:t>设计</w:t>
      </w:r>
      <w:r>
        <w:rPr>
          <w:rFonts w:hint="eastAsia" w:ascii="Times New Roman" w:hAnsi="Times New Roman" w:eastAsia="仿宋_GB2312" w:cs="Times New Roman"/>
          <w:bCs/>
          <w:kern w:val="0"/>
          <w:sz w:val="28"/>
          <w:szCs w:val="28"/>
          <w:lang w:val="zh-TW" w:eastAsia="zh-CN"/>
        </w:rPr>
        <w:t>符合地方实际，具有可行性。</w:t>
      </w:r>
    </w:p>
    <w:p w14:paraId="74A54B58">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zh-TW" w:eastAsia="zh-CN"/>
        </w:rPr>
        <w:t>（4）项目采用集约</w:t>
      </w:r>
      <w:r>
        <w:rPr>
          <w:rFonts w:hint="eastAsia" w:ascii="Times New Roman" w:hAnsi="Times New Roman" w:eastAsia="仿宋_GB2312" w:cs="Times New Roman"/>
          <w:bCs/>
          <w:kern w:val="0"/>
          <w:sz w:val="28"/>
          <w:szCs w:val="28"/>
          <w:lang w:val="en-US" w:eastAsia="zh-CN"/>
        </w:rPr>
        <w:t>规模</w:t>
      </w:r>
      <w:r>
        <w:rPr>
          <w:rFonts w:hint="eastAsia" w:ascii="Times New Roman" w:hAnsi="Times New Roman" w:eastAsia="仿宋_GB2312" w:cs="Times New Roman"/>
          <w:bCs/>
          <w:kern w:val="0"/>
          <w:sz w:val="28"/>
          <w:szCs w:val="28"/>
          <w:lang w:val="zh-TW" w:eastAsia="zh-CN"/>
        </w:rPr>
        <w:t>化经营，可有效提高油茶生产经营水平，当地国资公司统一流转、统一建设、统一经营，符合市场化运营需求，合作期结束后，留于当地群众高效油茶林，对促进林区群众致富具有积极意义。</w:t>
      </w:r>
    </w:p>
    <w:p w14:paraId="6717678E">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zh-TW" w:eastAsia="zh-CN"/>
        </w:rPr>
        <w:t>（5）项目选用技术参数指标结合实际，符合规范要求，投资</w:t>
      </w:r>
      <w:r>
        <w:rPr>
          <w:rFonts w:hint="eastAsia" w:ascii="Times New Roman" w:hAnsi="Times New Roman" w:eastAsia="仿宋_GB2312" w:cs="Times New Roman"/>
          <w:bCs/>
          <w:kern w:val="0"/>
          <w:sz w:val="28"/>
          <w:szCs w:val="28"/>
          <w:lang w:val="en-US" w:eastAsia="zh-CN"/>
        </w:rPr>
        <w:t>概</w:t>
      </w:r>
      <w:r>
        <w:rPr>
          <w:rFonts w:hint="eastAsia" w:ascii="Times New Roman" w:hAnsi="Times New Roman" w:eastAsia="仿宋_GB2312" w:cs="Times New Roman"/>
          <w:bCs/>
          <w:kern w:val="0"/>
          <w:sz w:val="28"/>
          <w:szCs w:val="28"/>
          <w:lang w:val="zh-TW" w:eastAsia="zh-CN"/>
        </w:rPr>
        <w:t>算合理，投资来源申请中央财政补助、省级财政补助，保障了项目的资金需求，具有落地实施性。</w:t>
      </w:r>
    </w:p>
    <w:p w14:paraId="7B4D027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zh-TW" w:eastAsia="zh-CN"/>
        </w:rPr>
        <w:t>（6）项目的实施，对低产低效林进行改造，有效提高了林地的综合利用效益，营造高标准油茶林，增加了油茶单位面积产量及产品品质，提供劳动岗位，带动当地群众增收致富，为油茶产业高质量发展提供稳定支撑，实现了经济、社会、生态效益的相统一。</w:t>
      </w:r>
    </w:p>
    <w:p w14:paraId="1D3E48C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zh-TW" w:eastAsia="zh-CN"/>
        </w:rPr>
        <w:t>综上所述，项目实施具有必要性、紧迫性，项目可行，</w:t>
      </w:r>
      <w:r>
        <w:rPr>
          <w:rFonts w:hint="eastAsia" w:ascii="Times New Roman" w:hAnsi="Times New Roman" w:eastAsia="仿宋_GB2312" w:cs="Times New Roman"/>
          <w:bCs/>
          <w:kern w:val="0"/>
          <w:sz w:val="28"/>
          <w:szCs w:val="28"/>
          <w:lang w:val="en-US" w:eastAsia="zh-CN"/>
        </w:rPr>
        <w:t>实施方案符合相关技术规范要求</w:t>
      </w:r>
      <w:r>
        <w:rPr>
          <w:rFonts w:hint="eastAsia" w:ascii="Times New Roman" w:hAnsi="Times New Roman" w:eastAsia="仿宋_GB2312" w:cs="Times New Roman"/>
          <w:bCs/>
          <w:kern w:val="0"/>
          <w:sz w:val="28"/>
          <w:szCs w:val="28"/>
          <w:lang w:val="zh-TW" w:eastAsia="zh-CN"/>
        </w:rPr>
        <w:t>。</w:t>
      </w:r>
    </w:p>
    <w:p w14:paraId="5D8ADE5B">
      <w:pPr>
        <w:pStyle w:val="3"/>
        <w:pageBreakBefore w:val="0"/>
        <w:widowControl w:val="0"/>
        <w:kinsoku/>
        <w:wordWrap/>
        <w:overflowPunct/>
        <w:topLinePunct w:val="0"/>
        <w:bidi w:val="0"/>
        <w:snapToGrid/>
        <w:spacing w:before="326" w:beforeLines="100" w:beforeAutospacing="0" w:after="326" w:afterLines="100" w:afterAutospacing="0" w:line="360" w:lineRule="auto"/>
        <w:ind w:firstLine="0" w:firstLineChars="0"/>
        <w:jc w:val="center"/>
        <w:rPr>
          <w:rFonts w:hint="eastAsia" w:ascii="黑体" w:hAnsi="黑体" w:cs="Times New Roman"/>
          <w:bCs w:val="0"/>
          <w:kern w:val="0"/>
          <w:sz w:val="32"/>
          <w:szCs w:val="32"/>
          <w:lang w:val="zh-TW" w:eastAsia="zh-CN"/>
        </w:rPr>
      </w:pPr>
      <w:bookmarkStart w:id="902" w:name="_Toc23255"/>
      <w:bookmarkStart w:id="903" w:name="_Toc1389"/>
      <w:bookmarkStart w:id="904" w:name="_Toc10934"/>
      <w:bookmarkStart w:id="905" w:name="_Toc31457"/>
      <w:r>
        <w:rPr>
          <w:rFonts w:hint="eastAsia" w:ascii="黑体" w:hAnsi="黑体" w:cs="Times New Roman"/>
          <w:bCs w:val="0"/>
          <w:kern w:val="0"/>
          <w:sz w:val="32"/>
          <w:szCs w:val="32"/>
          <w:lang w:val="zh-TW" w:eastAsia="zh-CN"/>
        </w:rPr>
        <w:t>1</w:t>
      </w:r>
      <w:r>
        <w:rPr>
          <w:rFonts w:hint="eastAsia" w:ascii="黑体" w:hAnsi="黑体" w:cs="Times New Roman"/>
          <w:bCs w:val="0"/>
          <w:kern w:val="0"/>
          <w:sz w:val="32"/>
          <w:szCs w:val="32"/>
          <w:lang w:val="en-US" w:eastAsia="zh-CN"/>
        </w:rPr>
        <w:t>3</w:t>
      </w:r>
      <w:r>
        <w:rPr>
          <w:rFonts w:hint="eastAsia" w:ascii="黑体" w:hAnsi="黑体" w:cs="Times New Roman"/>
          <w:bCs w:val="0"/>
          <w:kern w:val="0"/>
          <w:sz w:val="32"/>
          <w:szCs w:val="32"/>
          <w:lang w:val="zh-TW" w:eastAsia="zh-CN"/>
        </w:rPr>
        <w:t>.2 建议</w:t>
      </w:r>
      <w:bookmarkEnd w:id="894"/>
      <w:bookmarkEnd w:id="895"/>
      <w:bookmarkEnd w:id="896"/>
      <w:bookmarkEnd w:id="897"/>
      <w:bookmarkEnd w:id="898"/>
      <w:bookmarkEnd w:id="899"/>
      <w:bookmarkEnd w:id="900"/>
      <w:bookmarkEnd w:id="901"/>
      <w:bookmarkEnd w:id="902"/>
      <w:bookmarkEnd w:id="903"/>
      <w:bookmarkEnd w:id="904"/>
      <w:bookmarkEnd w:id="905"/>
    </w:p>
    <w:p w14:paraId="6CFEB53C">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zh-TW" w:eastAsia="zh-CN"/>
        </w:rPr>
        <w:t>（1）尽快按程序报批实施</w:t>
      </w:r>
    </w:p>
    <w:p w14:paraId="799456D7">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zh-TW" w:eastAsia="zh-CN"/>
        </w:rPr>
        <w:t>常山县油茶产业发展基础扎实，被</w:t>
      </w:r>
      <w:r>
        <w:rPr>
          <w:rFonts w:hint="eastAsia" w:ascii="Times New Roman" w:hAnsi="Times New Roman" w:eastAsia="仿宋_GB2312" w:cs="Times New Roman"/>
          <w:bCs/>
          <w:kern w:val="0"/>
          <w:sz w:val="28"/>
          <w:szCs w:val="28"/>
          <w:lang w:val="en-US" w:eastAsia="zh-CN"/>
        </w:rPr>
        <w:t>誉</w:t>
      </w:r>
      <w:r>
        <w:rPr>
          <w:rFonts w:hint="eastAsia" w:ascii="Times New Roman" w:hAnsi="Times New Roman" w:eastAsia="仿宋_GB2312" w:cs="Times New Roman"/>
          <w:bCs/>
          <w:kern w:val="0"/>
          <w:sz w:val="28"/>
          <w:szCs w:val="28"/>
          <w:lang w:val="zh-TW" w:eastAsia="zh-CN"/>
        </w:rPr>
        <w:t>为“中国油茶之乡”，项目实施可优化油茶产业结构，有效促进油茶产业高质量发展。该项目做了大量的前期工作，</w:t>
      </w:r>
      <w:r>
        <w:rPr>
          <w:rFonts w:hint="eastAsia" w:ascii="Times New Roman" w:hAnsi="Times New Roman" w:eastAsia="仿宋_GB2312" w:cs="Times New Roman"/>
          <w:bCs/>
          <w:kern w:val="0"/>
          <w:sz w:val="28"/>
          <w:szCs w:val="28"/>
          <w:lang w:val="en-US" w:eastAsia="zh-CN"/>
        </w:rPr>
        <w:t>相关部门</w:t>
      </w:r>
      <w:r>
        <w:rPr>
          <w:rFonts w:hint="eastAsia" w:ascii="Times New Roman" w:hAnsi="Times New Roman" w:eastAsia="仿宋_GB2312" w:cs="Times New Roman"/>
          <w:bCs/>
          <w:kern w:val="0"/>
          <w:sz w:val="28"/>
          <w:szCs w:val="28"/>
          <w:lang w:val="zh-TW" w:eastAsia="zh-CN"/>
        </w:rPr>
        <w:t>应在项目的组织协调、审批流程等方面给予一定的支持，建议相关部门尽快</w:t>
      </w:r>
      <w:r>
        <w:rPr>
          <w:rFonts w:hint="eastAsia" w:ascii="Times New Roman" w:hAnsi="Times New Roman" w:eastAsia="仿宋_GB2312" w:cs="Times New Roman"/>
          <w:bCs/>
          <w:kern w:val="0"/>
          <w:sz w:val="28"/>
          <w:szCs w:val="28"/>
          <w:lang w:val="en-US" w:eastAsia="zh-CN"/>
        </w:rPr>
        <w:t>组织</w:t>
      </w:r>
      <w:r>
        <w:rPr>
          <w:rFonts w:hint="eastAsia" w:ascii="Times New Roman" w:hAnsi="Times New Roman" w:eastAsia="仿宋_GB2312" w:cs="Times New Roman"/>
          <w:bCs/>
          <w:kern w:val="0"/>
          <w:sz w:val="28"/>
          <w:szCs w:val="28"/>
          <w:lang w:val="zh-TW" w:eastAsia="zh-CN"/>
        </w:rPr>
        <w:t>实施。</w:t>
      </w:r>
    </w:p>
    <w:p w14:paraId="3E97687B">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zh-TW" w:eastAsia="zh-CN"/>
        </w:rPr>
        <w:t>（</w:t>
      </w:r>
      <w:r>
        <w:rPr>
          <w:rFonts w:hint="eastAsia" w:ascii="Times New Roman" w:hAnsi="Times New Roman" w:eastAsia="仿宋_GB2312" w:cs="Times New Roman"/>
          <w:bCs/>
          <w:kern w:val="0"/>
          <w:sz w:val="28"/>
          <w:szCs w:val="28"/>
          <w:lang w:val="en-US" w:eastAsia="zh-CN"/>
        </w:rPr>
        <w:t>2</w:t>
      </w:r>
      <w:r>
        <w:rPr>
          <w:rFonts w:hint="eastAsia" w:ascii="Times New Roman" w:hAnsi="Times New Roman" w:eastAsia="仿宋_GB2312" w:cs="Times New Roman"/>
          <w:bCs/>
          <w:kern w:val="0"/>
          <w:sz w:val="28"/>
          <w:szCs w:val="28"/>
          <w:lang w:val="zh-TW" w:eastAsia="zh-CN"/>
        </w:rPr>
        <w:t>）加强项目管理</w:t>
      </w:r>
    </w:p>
    <w:p w14:paraId="6A2CBCB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zh-TW" w:eastAsia="zh-CN"/>
        </w:rPr>
        <w:t>科学</w:t>
      </w:r>
      <w:r>
        <w:rPr>
          <w:rFonts w:hint="eastAsia" w:ascii="Times New Roman" w:hAnsi="Times New Roman" w:eastAsia="仿宋_GB2312" w:cs="Times New Roman"/>
          <w:bCs/>
          <w:kern w:val="0"/>
          <w:sz w:val="28"/>
          <w:szCs w:val="28"/>
          <w:lang w:val="en-US" w:eastAsia="zh-CN"/>
        </w:rPr>
        <w:t>落实营造林任务，严格执行</w:t>
      </w:r>
      <w:r>
        <w:rPr>
          <w:rFonts w:hint="eastAsia" w:ascii="Times New Roman" w:hAnsi="Times New Roman" w:eastAsia="仿宋_GB2312" w:cs="Times New Roman"/>
          <w:bCs/>
          <w:kern w:val="0"/>
          <w:sz w:val="28"/>
          <w:szCs w:val="28"/>
          <w:lang w:val="zh-TW" w:eastAsia="zh-CN"/>
        </w:rPr>
        <w:t>项目管理办法，管好用好资金，确保资金安全运行和建设成效。相关部门积极做好服务，指导项目建设的</w:t>
      </w:r>
      <w:r>
        <w:rPr>
          <w:rFonts w:hint="eastAsia" w:ascii="Times New Roman" w:hAnsi="Times New Roman" w:eastAsia="仿宋_GB2312" w:cs="Times New Roman"/>
          <w:bCs/>
          <w:kern w:val="0"/>
          <w:sz w:val="28"/>
          <w:szCs w:val="28"/>
          <w:lang w:val="en-US" w:eastAsia="zh-CN"/>
        </w:rPr>
        <w:t>实施方案、施工图、招投标等</w:t>
      </w:r>
      <w:r>
        <w:rPr>
          <w:rFonts w:hint="eastAsia" w:ascii="Times New Roman" w:hAnsi="Times New Roman" w:eastAsia="仿宋_GB2312" w:cs="Times New Roman"/>
          <w:bCs/>
          <w:kern w:val="0"/>
          <w:sz w:val="28"/>
          <w:szCs w:val="28"/>
          <w:lang w:val="zh-TW" w:eastAsia="zh-CN"/>
        </w:rPr>
        <w:t>环节、流程的实施操作，提高工作效率，加快项目顺利实施。</w:t>
      </w:r>
    </w:p>
    <w:p w14:paraId="1BAD1752">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zh-TW" w:eastAsia="zh-CN"/>
        </w:rPr>
        <w:t>（</w:t>
      </w:r>
      <w:r>
        <w:rPr>
          <w:rFonts w:hint="eastAsia" w:ascii="Times New Roman" w:hAnsi="Times New Roman" w:eastAsia="仿宋_GB2312" w:cs="Times New Roman"/>
          <w:bCs/>
          <w:kern w:val="0"/>
          <w:sz w:val="28"/>
          <w:szCs w:val="28"/>
          <w:lang w:val="en-US" w:eastAsia="zh-CN"/>
        </w:rPr>
        <w:t>3</w:t>
      </w:r>
      <w:r>
        <w:rPr>
          <w:rFonts w:hint="eastAsia" w:ascii="Times New Roman" w:hAnsi="Times New Roman" w:eastAsia="仿宋_GB2312" w:cs="Times New Roman"/>
          <w:bCs/>
          <w:kern w:val="0"/>
          <w:sz w:val="28"/>
          <w:szCs w:val="28"/>
          <w:lang w:val="zh-TW" w:eastAsia="zh-CN"/>
        </w:rPr>
        <w:t>）高质量推进油茶产业发展</w:t>
      </w:r>
    </w:p>
    <w:p w14:paraId="754DF823">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zh-TW" w:eastAsia="zh-CN"/>
        </w:rPr>
      </w:pPr>
      <w:r>
        <w:rPr>
          <w:rFonts w:hint="eastAsia" w:ascii="Times New Roman" w:hAnsi="Times New Roman" w:eastAsia="仿宋_GB2312" w:cs="Times New Roman"/>
          <w:bCs/>
          <w:kern w:val="0"/>
          <w:sz w:val="28"/>
          <w:szCs w:val="28"/>
          <w:lang w:val="zh-TW" w:eastAsia="zh-CN"/>
        </w:rPr>
        <w:t>本项目</w:t>
      </w:r>
      <w:r>
        <w:rPr>
          <w:rFonts w:hint="eastAsia" w:ascii="Times New Roman" w:hAnsi="Times New Roman" w:eastAsia="仿宋_GB2312" w:cs="Times New Roman"/>
          <w:bCs/>
          <w:kern w:val="0"/>
          <w:sz w:val="28"/>
          <w:szCs w:val="28"/>
          <w:lang w:val="en-US" w:eastAsia="zh-CN"/>
        </w:rPr>
        <w:t>重点开展了</w:t>
      </w:r>
      <w:r>
        <w:rPr>
          <w:rFonts w:hint="eastAsia" w:ascii="Times New Roman" w:hAnsi="Times New Roman" w:eastAsia="仿宋_GB2312" w:cs="Times New Roman"/>
          <w:bCs/>
          <w:kern w:val="0"/>
          <w:sz w:val="28"/>
          <w:szCs w:val="28"/>
          <w:lang w:val="zh-TW" w:eastAsia="zh-CN"/>
        </w:rPr>
        <w:t>油茶营造林</w:t>
      </w:r>
      <w:r>
        <w:rPr>
          <w:rFonts w:hint="eastAsia" w:ascii="Times New Roman" w:hAnsi="Times New Roman" w:eastAsia="仿宋_GB2312" w:cs="Times New Roman"/>
          <w:bCs/>
          <w:kern w:val="0"/>
          <w:sz w:val="28"/>
          <w:szCs w:val="28"/>
          <w:lang w:val="en-US" w:eastAsia="zh-CN"/>
        </w:rPr>
        <w:t>等前端设计</w:t>
      </w:r>
      <w:r>
        <w:rPr>
          <w:rFonts w:hint="eastAsia" w:ascii="Times New Roman" w:hAnsi="Times New Roman" w:eastAsia="仿宋_GB2312" w:cs="Times New Roman"/>
          <w:bCs/>
          <w:kern w:val="0"/>
          <w:sz w:val="28"/>
          <w:szCs w:val="28"/>
          <w:lang w:val="zh-TW" w:eastAsia="zh-CN"/>
        </w:rPr>
        <w:t>，建议后续经营过程中加强基础设施建设，</w:t>
      </w:r>
      <w:r>
        <w:rPr>
          <w:rFonts w:hint="eastAsia" w:ascii="Times New Roman" w:hAnsi="Times New Roman" w:eastAsia="仿宋_GB2312" w:cs="Times New Roman"/>
          <w:bCs/>
          <w:kern w:val="0"/>
          <w:sz w:val="28"/>
          <w:szCs w:val="28"/>
          <w:lang w:val="en-US" w:eastAsia="zh-CN"/>
        </w:rPr>
        <w:t>做好水肥一体化的维修运营和用电配套，建立长效机制，确保项目发挥预期效益。</w:t>
      </w:r>
      <w:r>
        <w:rPr>
          <w:rFonts w:hint="eastAsia" w:ascii="Times New Roman" w:hAnsi="Times New Roman" w:eastAsia="仿宋_GB2312" w:cs="Times New Roman"/>
          <w:bCs/>
          <w:kern w:val="0"/>
          <w:sz w:val="28"/>
          <w:szCs w:val="28"/>
          <w:lang w:val="zh-TW" w:eastAsia="zh-CN"/>
        </w:rPr>
        <w:t>开展机械强林及智慧建设，以数字化、信息化、智慧化为支撑，打造智慧油茶培育基地。推进油茶产业全产业链的智慧化、信息化和农业物联网技术应用，实现即时监测、即时反应，有效提高油茶生产经营水平。开展三产融合实践，把项目实施与农民增收致富结合起来，使油茶产业和加工装备制造、文化创意、生态旅游、金融服务、商贸、住宿、餐饮等二、三产融合发展，联动发挥油茶经济、文化、旅游、生态等综合功能，打响常山油茶品牌。</w:t>
      </w:r>
    </w:p>
    <w:p w14:paraId="573E0250">
      <w:pPr>
        <w:pageBreakBefore w:val="0"/>
        <w:widowControl w:val="0"/>
        <w:kinsoku/>
        <w:wordWrap/>
        <w:overflowPunct/>
        <w:topLinePunct w:val="0"/>
        <w:bidi w:val="0"/>
        <w:snapToGrid/>
        <w:spacing w:after="0" w:line="360" w:lineRule="auto"/>
        <w:ind w:firstLine="560" w:firstLineChars="200"/>
        <w:jc w:val="both"/>
        <w:rPr>
          <w:rFonts w:hint="eastAsia" w:ascii="Times New Roman" w:hAnsi="Times New Roman" w:eastAsia="仿宋_GB2312" w:cs="Times New Roman"/>
          <w:bCs/>
          <w:kern w:val="0"/>
          <w:sz w:val="28"/>
          <w:szCs w:val="28"/>
          <w:lang w:val="en-US" w:eastAsia="zh-CN"/>
        </w:rPr>
        <w:sectPr>
          <w:footerReference r:id="rId23"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16B4620F">
      <w:pPr>
        <w:pStyle w:val="2"/>
        <w:pageBreakBefore w:val="0"/>
        <w:widowControl w:val="0"/>
        <w:tabs>
          <w:tab w:val="left" w:pos="1260"/>
        </w:tabs>
        <w:kinsoku/>
        <w:wordWrap/>
        <w:overflowPunct/>
        <w:topLinePunct w:val="0"/>
        <w:bidi w:val="0"/>
        <w:snapToGrid/>
        <w:spacing w:before="0" w:beforeLines="0" w:after="0" w:afterLines="0" w:line="240" w:lineRule="auto"/>
        <w:outlineLvl w:val="9"/>
        <w:rPr>
          <w:rFonts w:hint="eastAsia" w:ascii="楷体_GB2312" w:eastAsia="楷体_GB2312" w:cs="黑体"/>
          <w:color w:val="249087" w:themeColor="accent5" w:themeShade="BF"/>
          <w:sz w:val="84"/>
          <w:szCs w:val="84"/>
          <w:lang w:val="zh-CN" w:eastAsia="zh-CN"/>
        </w:rPr>
      </w:pPr>
    </w:p>
    <w:p w14:paraId="254E0048">
      <w:pPr>
        <w:pStyle w:val="2"/>
        <w:pageBreakBefore w:val="0"/>
        <w:widowControl w:val="0"/>
        <w:tabs>
          <w:tab w:val="left" w:pos="1260"/>
        </w:tabs>
        <w:kinsoku/>
        <w:wordWrap/>
        <w:overflowPunct/>
        <w:topLinePunct w:val="0"/>
        <w:bidi w:val="0"/>
        <w:snapToGrid/>
        <w:spacing w:before="0" w:beforeLines="0" w:after="0" w:afterLines="0" w:line="240" w:lineRule="auto"/>
        <w:outlineLvl w:val="1"/>
        <w:rPr>
          <w:rFonts w:ascii="楷体_GB2312" w:eastAsia="楷体_GB2312" w:cs="黑体"/>
          <w:b/>
          <w:bCs w:val="0"/>
          <w:color w:val="auto"/>
          <w:sz w:val="72"/>
          <w:szCs w:val="72"/>
          <w:lang w:val="zh-CN" w:eastAsia="zh-CN"/>
        </w:rPr>
      </w:pPr>
      <w:bookmarkStart w:id="906" w:name="_Toc11437"/>
      <w:bookmarkStart w:id="907" w:name="_Toc6164"/>
      <w:bookmarkStart w:id="908" w:name="_Toc16808"/>
      <w:r>
        <w:rPr>
          <w:rFonts w:hint="eastAsia" w:ascii="楷体_GB2312" w:eastAsia="楷体_GB2312" w:cs="黑体"/>
          <w:b/>
          <w:bCs w:val="0"/>
          <w:color w:val="auto"/>
          <w:sz w:val="72"/>
          <w:szCs w:val="72"/>
          <w:lang w:val="zh-CN" w:eastAsia="zh-CN"/>
        </w:rPr>
        <w:t>附表</w:t>
      </w:r>
      <w:bookmarkEnd w:id="906"/>
      <w:bookmarkEnd w:id="907"/>
      <w:bookmarkEnd w:id="908"/>
    </w:p>
    <w:sdt>
      <w:sdtPr>
        <w:rPr>
          <w:rFonts w:hint="eastAsia" w:ascii="仿宋" w:hAnsi="仿宋" w:eastAsia="仿宋" w:cs="仿宋"/>
          <w:sz w:val="28"/>
          <w:szCs w:val="28"/>
          <w:lang w:val="en-US" w:eastAsia="en-US" w:bidi="ar-SA"/>
        </w:rPr>
        <w:id w:val="147474067"/>
        <w15:color w:val="DBDBDB"/>
        <w:docPartObj>
          <w:docPartGallery w:val="Table of Contents"/>
          <w:docPartUnique/>
        </w:docPartObj>
      </w:sdtPr>
      <w:sdtEndPr>
        <w:rPr>
          <w:rFonts w:hint="eastAsia" w:ascii="仿宋_GB2312" w:hAnsi="仿宋_GB2312" w:eastAsia="仿宋_GB2312" w:cs="仿宋_GB2312"/>
          <w:b/>
          <w:sz w:val="28"/>
          <w:szCs w:val="28"/>
          <w:lang w:val="en-US" w:eastAsia="en-US" w:bidi="ar-SA"/>
        </w:rPr>
      </w:sdtEndPr>
      <w:sdtContent>
        <w:p w14:paraId="501E6DAF">
          <w:pPr>
            <w:pStyle w:val="14"/>
            <w:keepNext w:val="0"/>
            <w:keepLines w:val="0"/>
            <w:pageBreakBefore w:val="0"/>
            <w:widowControl w:val="0"/>
            <w:tabs>
              <w:tab w:val="right" w:leader="dot" w:pos="8306"/>
            </w:tabs>
            <w:kinsoku/>
            <w:wordWrap/>
            <w:overflowPunct/>
            <w:topLinePunct w:val="0"/>
            <w:autoSpaceDE/>
            <w:autoSpaceDN/>
            <w:bidi w:val="0"/>
            <w:adjustRightInd/>
            <w:snapToGrid/>
            <w:ind w:left="0" w:leftChars="0" w:firstLine="0" w:firstLineChars="0"/>
            <w:textAlignment w:val="auto"/>
            <w:rPr>
              <w:rFonts w:hint="eastAsia" w:ascii="仿宋" w:hAnsi="仿宋" w:eastAsia="仿宋" w:cs="仿宋"/>
              <w:sz w:val="28"/>
              <w:szCs w:val="28"/>
              <w:lang w:val="en-US" w:eastAsia="en-US" w:bidi="ar-SA"/>
            </w:rPr>
          </w:pPr>
        </w:p>
        <w:p w14:paraId="5DEE7415">
          <w:pPr>
            <w:pStyle w:val="14"/>
            <w:keepNext w:val="0"/>
            <w:keepLines w:val="0"/>
            <w:pageBreakBefore w:val="0"/>
            <w:widowControl w:val="0"/>
            <w:tabs>
              <w:tab w:val="right" w:leader="dot" w:pos="8306"/>
            </w:tabs>
            <w:kinsoku/>
            <w:wordWrap/>
            <w:overflowPunct/>
            <w:topLinePunct w:val="0"/>
            <w:autoSpaceDE/>
            <w:autoSpaceDN/>
            <w:bidi w:val="0"/>
            <w:adjustRightInd/>
            <w:snapToGrid/>
            <w:ind w:left="0" w:leftChars="0" w:firstLine="0" w:firstLineChars="0"/>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TOC \o "1-2" \h \u </w:instrText>
          </w:r>
          <w:r>
            <w:rPr>
              <w:rFonts w:hint="eastAsia" w:ascii="仿宋" w:hAnsi="仿宋" w:eastAsia="仿宋" w:cs="仿宋"/>
              <w:sz w:val="28"/>
              <w:szCs w:val="28"/>
            </w:rPr>
            <w:fldChar w:fldCharType="separate"/>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_Toc9438 </w:instrText>
          </w:r>
          <w:r>
            <w:rPr>
              <w:rFonts w:hint="eastAsia" w:ascii="仿宋" w:hAnsi="仿宋" w:eastAsia="仿宋" w:cs="仿宋"/>
              <w:sz w:val="28"/>
              <w:szCs w:val="28"/>
            </w:rPr>
            <w:fldChar w:fldCharType="separate"/>
          </w:r>
          <w:r>
            <w:rPr>
              <w:rFonts w:hint="eastAsia" w:ascii="仿宋" w:hAnsi="仿宋" w:eastAsia="仿宋" w:cs="仿宋"/>
              <w:bCs w:val="0"/>
              <w:kern w:val="0"/>
              <w:sz w:val="28"/>
              <w:szCs w:val="28"/>
              <w:lang w:val="en-US" w:eastAsia="zh-CN"/>
            </w:rPr>
            <w:t>表1 营造林小班现状调查一览表</w:t>
          </w:r>
          <w:r>
            <w:rPr>
              <w:rFonts w:hint="eastAsia" w:ascii="仿宋" w:hAnsi="仿宋" w:eastAsia="仿宋" w:cs="仿宋"/>
              <w:sz w:val="28"/>
              <w:szCs w:val="28"/>
            </w:rPr>
            <w:fldChar w:fldCharType="end"/>
          </w:r>
        </w:p>
        <w:p w14:paraId="3865F715">
          <w:pPr>
            <w:pStyle w:val="14"/>
            <w:keepNext w:val="0"/>
            <w:keepLines w:val="0"/>
            <w:pageBreakBefore w:val="0"/>
            <w:widowControl w:val="0"/>
            <w:tabs>
              <w:tab w:val="right" w:leader="dot" w:pos="8306"/>
            </w:tabs>
            <w:kinsoku/>
            <w:wordWrap/>
            <w:overflowPunct/>
            <w:topLinePunct w:val="0"/>
            <w:autoSpaceDE/>
            <w:autoSpaceDN/>
            <w:bidi w:val="0"/>
            <w:adjustRightInd/>
            <w:snapToGrid/>
            <w:ind w:left="0" w:leftChars="0" w:firstLine="0" w:firstLineChars="0"/>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_Toc27786 </w:instrText>
          </w:r>
          <w:r>
            <w:rPr>
              <w:rFonts w:hint="eastAsia" w:ascii="仿宋" w:hAnsi="仿宋" w:eastAsia="仿宋" w:cs="仿宋"/>
              <w:sz w:val="28"/>
              <w:szCs w:val="28"/>
            </w:rPr>
            <w:fldChar w:fldCharType="separate"/>
          </w:r>
          <w:r>
            <w:rPr>
              <w:rFonts w:hint="eastAsia" w:ascii="仿宋" w:hAnsi="仿宋" w:eastAsia="仿宋" w:cs="仿宋"/>
              <w:bCs w:val="0"/>
              <w:kern w:val="0"/>
              <w:sz w:val="28"/>
              <w:szCs w:val="28"/>
              <w:lang w:val="en-US" w:eastAsia="zh-CN"/>
            </w:rPr>
            <w:t>表2 营造林小班作业设计一览表</w:t>
          </w:r>
          <w:r>
            <w:rPr>
              <w:rFonts w:hint="eastAsia" w:ascii="仿宋" w:hAnsi="仿宋" w:eastAsia="仿宋" w:cs="仿宋"/>
              <w:sz w:val="28"/>
              <w:szCs w:val="28"/>
            </w:rPr>
            <w:fldChar w:fldCharType="end"/>
          </w:r>
        </w:p>
        <w:p w14:paraId="3905A39E">
          <w:pPr>
            <w:pStyle w:val="14"/>
            <w:keepNext w:val="0"/>
            <w:keepLines w:val="0"/>
            <w:pageBreakBefore w:val="0"/>
            <w:widowControl w:val="0"/>
            <w:tabs>
              <w:tab w:val="right" w:leader="dot" w:pos="8306"/>
            </w:tabs>
            <w:kinsoku/>
            <w:wordWrap/>
            <w:overflowPunct/>
            <w:topLinePunct w:val="0"/>
            <w:autoSpaceDE/>
            <w:autoSpaceDN/>
            <w:bidi w:val="0"/>
            <w:adjustRightInd/>
            <w:snapToGrid/>
            <w:ind w:left="0" w:leftChars="0" w:firstLine="0" w:firstLineChars="0"/>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_Toc17742 </w:instrText>
          </w:r>
          <w:r>
            <w:rPr>
              <w:rFonts w:hint="eastAsia" w:ascii="仿宋" w:hAnsi="仿宋" w:eastAsia="仿宋" w:cs="仿宋"/>
              <w:sz w:val="28"/>
              <w:szCs w:val="28"/>
            </w:rPr>
            <w:fldChar w:fldCharType="separate"/>
          </w:r>
          <w:r>
            <w:rPr>
              <w:rFonts w:hint="eastAsia" w:ascii="仿宋" w:hAnsi="仿宋" w:eastAsia="仿宋" w:cs="仿宋"/>
              <w:bCs w:val="0"/>
              <w:kern w:val="0"/>
              <w:sz w:val="28"/>
              <w:szCs w:val="28"/>
              <w:lang w:val="en-US" w:eastAsia="zh-CN"/>
            </w:rPr>
            <w:t>表3 营造林小班物资及工程量明细表</w:t>
          </w:r>
          <w:r>
            <w:rPr>
              <w:rFonts w:hint="eastAsia" w:ascii="仿宋" w:hAnsi="仿宋" w:eastAsia="仿宋" w:cs="仿宋"/>
              <w:sz w:val="28"/>
              <w:szCs w:val="28"/>
            </w:rPr>
            <w:fldChar w:fldCharType="end"/>
          </w:r>
        </w:p>
        <w:p w14:paraId="2F7AC150">
          <w:pPr>
            <w:pStyle w:val="14"/>
            <w:keepNext w:val="0"/>
            <w:keepLines w:val="0"/>
            <w:pageBreakBefore w:val="0"/>
            <w:widowControl w:val="0"/>
            <w:tabs>
              <w:tab w:val="right" w:leader="dot" w:pos="8306"/>
            </w:tabs>
            <w:kinsoku/>
            <w:wordWrap/>
            <w:overflowPunct/>
            <w:topLinePunct w:val="0"/>
            <w:autoSpaceDE/>
            <w:autoSpaceDN/>
            <w:bidi w:val="0"/>
            <w:adjustRightInd/>
            <w:snapToGrid/>
            <w:ind w:left="0" w:leftChars="0" w:firstLine="0" w:firstLineChars="0"/>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_Toc24728 </w:instrText>
          </w:r>
          <w:r>
            <w:rPr>
              <w:rFonts w:hint="eastAsia" w:ascii="仿宋" w:hAnsi="仿宋" w:eastAsia="仿宋" w:cs="仿宋"/>
              <w:sz w:val="28"/>
              <w:szCs w:val="28"/>
            </w:rPr>
            <w:fldChar w:fldCharType="separate"/>
          </w:r>
          <w:r>
            <w:rPr>
              <w:rFonts w:hint="eastAsia" w:ascii="仿宋" w:hAnsi="仿宋" w:eastAsia="仿宋" w:cs="仿宋"/>
              <w:bCs w:val="0"/>
              <w:kern w:val="0"/>
              <w:sz w:val="28"/>
              <w:szCs w:val="28"/>
              <w:lang w:val="en-US" w:eastAsia="zh-CN"/>
            </w:rPr>
            <w:t>表4 营造林小班单位消耗量定额明细表</w:t>
          </w:r>
          <w:r>
            <w:rPr>
              <w:rFonts w:hint="eastAsia" w:ascii="仿宋" w:hAnsi="仿宋" w:eastAsia="仿宋" w:cs="仿宋"/>
              <w:sz w:val="28"/>
              <w:szCs w:val="28"/>
            </w:rPr>
            <w:fldChar w:fldCharType="end"/>
          </w:r>
        </w:p>
        <w:p w14:paraId="576F9EC7">
          <w:pPr>
            <w:pStyle w:val="14"/>
            <w:keepNext w:val="0"/>
            <w:keepLines w:val="0"/>
            <w:pageBreakBefore w:val="0"/>
            <w:widowControl w:val="0"/>
            <w:tabs>
              <w:tab w:val="right" w:leader="dot" w:pos="8306"/>
            </w:tabs>
            <w:kinsoku/>
            <w:wordWrap/>
            <w:overflowPunct/>
            <w:topLinePunct w:val="0"/>
            <w:autoSpaceDE/>
            <w:autoSpaceDN/>
            <w:bidi w:val="0"/>
            <w:adjustRightInd/>
            <w:snapToGrid/>
            <w:ind w:left="0" w:leftChars="0" w:firstLine="0" w:firstLineChars="0"/>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_Toc16169 </w:instrText>
          </w:r>
          <w:r>
            <w:rPr>
              <w:rFonts w:hint="eastAsia" w:ascii="仿宋" w:hAnsi="仿宋" w:eastAsia="仿宋" w:cs="仿宋"/>
              <w:sz w:val="28"/>
              <w:szCs w:val="28"/>
            </w:rPr>
            <w:fldChar w:fldCharType="separate"/>
          </w:r>
          <w:r>
            <w:rPr>
              <w:rFonts w:hint="eastAsia" w:ascii="仿宋" w:hAnsi="仿宋" w:eastAsia="仿宋" w:cs="仿宋"/>
              <w:bCs w:val="0"/>
              <w:kern w:val="0"/>
              <w:sz w:val="28"/>
              <w:szCs w:val="28"/>
              <w:lang w:val="en-US" w:eastAsia="zh-CN"/>
            </w:rPr>
            <w:t>表5 营造林小班用工（机械）明细表</w:t>
          </w:r>
          <w:r>
            <w:rPr>
              <w:rFonts w:hint="eastAsia" w:ascii="仿宋" w:hAnsi="仿宋" w:eastAsia="仿宋" w:cs="仿宋"/>
              <w:sz w:val="28"/>
              <w:szCs w:val="28"/>
            </w:rPr>
            <w:fldChar w:fldCharType="end"/>
          </w:r>
        </w:p>
        <w:p w14:paraId="38A57BC3">
          <w:pPr>
            <w:pStyle w:val="14"/>
            <w:keepNext w:val="0"/>
            <w:keepLines w:val="0"/>
            <w:pageBreakBefore w:val="0"/>
            <w:widowControl w:val="0"/>
            <w:tabs>
              <w:tab w:val="right" w:leader="dot" w:pos="8306"/>
            </w:tabs>
            <w:kinsoku/>
            <w:wordWrap/>
            <w:overflowPunct/>
            <w:topLinePunct w:val="0"/>
            <w:autoSpaceDE/>
            <w:autoSpaceDN/>
            <w:bidi w:val="0"/>
            <w:adjustRightInd/>
            <w:snapToGrid/>
            <w:ind w:left="0" w:leftChars="0" w:firstLine="0" w:firstLineChars="0"/>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_Toc28320 </w:instrText>
          </w:r>
          <w:r>
            <w:rPr>
              <w:rFonts w:hint="eastAsia" w:ascii="仿宋" w:hAnsi="仿宋" w:eastAsia="仿宋" w:cs="仿宋"/>
              <w:sz w:val="28"/>
              <w:szCs w:val="28"/>
            </w:rPr>
            <w:fldChar w:fldCharType="separate"/>
          </w:r>
          <w:r>
            <w:rPr>
              <w:rFonts w:hint="eastAsia" w:ascii="仿宋" w:hAnsi="仿宋" w:eastAsia="仿宋" w:cs="仿宋"/>
              <w:bCs w:val="0"/>
              <w:kern w:val="0"/>
              <w:sz w:val="28"/>
              <w:szCs w:val="28"/>
              <w:lang w:val="en-US" w:eastAsia="zh-CN"/>
            </w:rPr>
            <w:t>表6 营造林小班工程费概算明细表</w:t>
          </w:r>
          <w:r>
            <w:rPr>
              <w:rFonts w:hint="eastAsia" w:ascii="仿宋" w:hAnsi="仿宋" w:eastAsia="仿宋" w:cs="仿宋"/>
              <w:sz w:val="28"/>
              <w:szCs w:val="28"/>
            </w:rPr>
            <w:fldChar w:fldCharType="end"/>
          </w:r>
        </w:p>
        <w:p w14:paraId="0E496E9C">
          <w:pPr>
            <w:pStyle w:val="14"/>
            <w:keepNext w:val="0"/>
            <w:keepLines w:val="0"/>
            <w:pageBreakBefore w:val="0"/>
            <w:widowControl w:val="0"/>
            <w:tabs>
              <w:tab w:val="right" w:leader="dot" w:pos="8306"/>
            </w:tabs>
            <w:kinsoku/>
            <w:wordWrap/>
            <w:overflowPunct/>
            <w:topLinePunct w:val="0"/>
            <w:autoSpaceDE/>
            <w:autoSpaceDN/>
            <w:bidi w:val="0"/>
            <w:adjustRightInd/>
            <w:snapToGrid/>
            <w:ind w:left="0" w:leftChars="0" w:firstLine="0" w:firstLineChars="0"/>
            <w:textAlignment w:val="auto"/>
            <w:rPr>
              <w:rFonts w:hint="eastAsia" w:ascii="仿宋_GB2312" w:hAnsi="仿宋_GB2312" w:eastAsia="仿宋_GB2312" w:cs="仿宋_GB2312"/>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_Toc10600 </w:instrText>
          </w:r>
          <w:r>
            <w:rPr>
              <w:rFonts w:hint="eastAsia" w:ascii="仿宋" w:hAnsi="仿宋" w:eastAsia="仿宋" w:cs="仿宋"/>
              <w:sz w:val="28"/>
              <w:szCs w:val="28"/>
            </w:rPr>
            <w:fldChar w:fldCharType="separate"/>
          </w:r>
          <w:r>
            <w:rPr>
              <w:rFonts w:hint="eastAsia" w:ascii="仿宋" w:hAnsi="仿宋" w:eastAsia="仿宋" w:cs="仿宋"/>
              <w:bCs w:val="0"/>
              <w:kern w:val="0"/>
              <w:sz w:val="28"/>
              <w:szCs w:val="28"/>
              <w:lang w:val="en-US" w:eastAsia="zh-CN"/>
            </w:rPr>
            <w:t>表7 营造林小班投资概算汇总表</w:t>
          </w:r>
          <w:r>
            <w:rPr>
              <w:rFonts w:hint="eastAsia" w:ascii="仿宋" w:hAnsi="仿宋" w:eastAsia="仿宋" w:cs="仿宋"/>
              <w:sz w:val="28"/>
              <w:szCs w:val="28"/>
            </w:rPr>
            <w:fldChar w:fldCharType="end"/>
          </w:r>
          <w:r>
            <w:rPr>
              <w:rFonts w:hint="eastAsia" w:ascii="仿宋" w:hAnsi="仿宋" w:eastAsia="仿宋" w:cs="仿宋"/>
              <w:b/>
              <w:sz w:val="28"/>
              <w:szCs w:val="28"/>
            </w:rPr>
            <w:fldChar w:fldCharType="end"/>
          </w:r>
        </w:p>
      </w:sdtContent>
    </w:sdt>
    <w:p w14:paraId="670C7667">
      <w:pPr>
        <w:pageBreakBefore w:val="0"/>
        <w:widowControl w:val="0"/>
        <w:kinsoku/>
        <w:wordWrap/>
        <w:overflowPunct/>
        <w:topLinePunct w:val="0"/>
        <w:bidi w:val="0"/>
        <w:ind w:left="0" w:leftChars="0" w:firstLine="0" w:firstLineChars="0"/>
        <w:rPr>
          <w:rFonts w:hint="default"/>
          <w:lang w:val="en-US" w:eastAsia="zh-CN"/>
        </w:rPr>
      </w:pPr>
    </w:p>
    <w:p w14:paraId="3FDB62E1"/>
    <w:p w14:paraId="73380E8C"/>
    <w:sectPr>
      <w:headerReference r:id="rId24" w:type="default"/>
      <w:headerReference r:id="rId25" w:type="even"/>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40"/>
      </w:pPr>
      <w:r>
        <w:separator/>
      </w:r>
    </w:p>
  </w:endnote>
  <w:endnote w:type="continuationSeparator" w:id="1">
    <w:p>
      <w:pPr>
        <w:spacing w:line="240" w:lineRule="auto"/>
        <w:ind w:firstLine="4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楷体_GB2312">
    <w:altName w:val="楷体"/>
    <w:panose1 w:val="02010609030101010101"/>
    <w:charset w:val="86"/>
    <w:family w:val="modern"/>
    <w:pitch w:val="default"/>
    <w:sig w:usb0="00000000" w:usb1="00000000" w:usb2="00000000" w:usb3="00000000" w:csb0="00040000" w:csb1="00000000"/>
  </w:font>
  <w:font w:name="Arial Narrow">
    <w:panose1 w:val="020B0606020202030204"/>
    <w:charset w:val="00"/>
    <w:family w:val="auto"/>
    <w:pitch w:val="default"/>
    <w:sig w:usb0="00000287" w:usb1="00000800" w:usb2="00000000" w:usb3="00000000" w:csb0="2000009F" w:csb1="DFD7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2A6FBE">
    <w:pPr>
      <w:pStyle w:val="1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EC8270">
    <w:pPr>
      <w:pStyle w:val="1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C9BCE7">
    <w:pPr>
      <w:pStyle w:val="10"/>
      <w:ind w:firstLine="360"/>
    </w:pPr>
    <w:r>
      <w:rPr>
        <w:sz w:val="18"/>
      </w:rPr>
      <mc:AlternateContent>
        <mc:Choice Requires="wps">
          <w:drawing>
            <wp:anchor distT="0" distB="0" distL="114300" distR="114300" simplePos="0" relativeHeight="251659264" behindDoc="0" locked="0" layoutInCell="1" allowOverlap="1">
              <wp:simplePos x="0" y="0"/>
              <wp:positionH relativeFrom="margin">
                <wp:posOffset>2462530</wp:posOffset>
              </wp:positionH>
              <wp:positionV relativeFrom="paragraph">
                <wp:posOffset>0</wp:posOffset>
              </wp:positionV>
              <wp:extent cx="46863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46863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15E074C">
                          <w:pPr>
                            <w:pStyle w:val="1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squar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93.9pt;margin-top:0pt;height:144pt;width:36.9pt;mso-position-horizontal-relative:margin;z-index:251659264;mso-width-relative:page;mso-height-relative:page;" filled="f" stroked="f" coordsize="21600,21600" o:gfxdata="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xvpkPtYAAAAIAQAADwAAAAAAAAABACAAAAAiAAAAZHJzL2Rvd25yZXYu&#10;eG1sUEsBAhQAFAAAAAgAh07iQHMlAyY2AgAAYgQAAA4AAAAAAAAAAQAgAAAAJQEAAGRycy9lMm9E&#10;b2MueG1sUEsFBgAAAAAGAAYAWQEAAM0FAAAAAA==&#10;">
              <v:fill on="f" focussize="0,0"/>
              <v:stroke on="f" weight="0.5pt"/>
              <v:imagedata o:title=""/>
              <o:lock v:ext="edit" aspectratio="f"/>
              <v:textbox inset="0mm,0mm,0mm,0mm" style="mso-fit-shape-to-text:t;">
                <w:txbxContent>
                  <w:p w14:paraId="615E074C">
                    <w:pPr>
                      <w:pStyle w:val="1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FE3A82">
    <w:pPr>
      <w:pStyle w:val="10"/>
    </w:pPr>
    <w:r>
      <w:rPr>
        <w:sz w:val="18"/>
      </w:rPr>
      <mc:AlternateContent>
        <mc:Choice Requires="wps">
          <w:drawing>
            <wp:anchor distT="0" distB="0" distL="114300" distR="114300" simplePos="0" relativeHeight="251660288" behindDoc="0" locked="0" layoutInCell="1" allowOverlap="1">
              <wp:simplePos x="0" y="0"/>
              <wp:positionH relativeFrom="margin">
                <wp:posOffset>2462530</wp:posOffset>
              </wp:positionH>
              <wp:positionV relativeFrom="paragraph">
                <wp:posOffset>0</wp:posOffset>
              </wp:positionV>
              <wp:extent cx="62103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62103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11A6AD">
                          <w:pPr>
                            <w:pStyle w:val="10"/>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squar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93.9pt;margin-top:0pt;height:144pt;width:48.9pt;mso-position-horizontal-relative:margin;z-index:251660288;mso-width-relative:page;mso-height-relative:page;" filled="f" stroked="f" coordsize="21600,21600" o:gfxdata="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mzD7Y1wAAAAgBAAAPAAAAAAAAAAEAIAAAACIAAABkcnMvZG93bnJl&#10;di54bWxQSwECFAAUAAAACACHTuJAvySekzcCAABiBAAADgAAAAAAAAABACAAAAAmAQAAZHJzL2Uy&#10;b0RvYy54bWxQSwUGAAAAAAYABgBZAQAAzwUAAAAA&#10;">
              <v:fill on="f" focussize="0,0"/>
              <v:stroke on="f" weight="0.5pt"/>
              <v:imagedata o:title=""/>
              <o:lock v:ext="edit" aspectratio="f"/>
              <v:textbox inset="0mm,0mm,0mm,0mm" style="mso-fit-shape-to-text:t;">
                <w:txbxContent>
                  <w:p w14:paraId="7E11A6AD">
                    <w:pPr>
                      <w:pStyle w:val="10"/>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AFE205">
    <w:pPr>
      <w:spacing w:line="176" w:lineRule="auto"/>
      <w:ind w:left="4059"/>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5ABD84">
                          <w:pPr>
                            <w:pStyle w:val="10"/>
                          </w:pPr>
                          <w:r>
                            <w:fldChar w:fldCharType="begin"/>
                          </w:r>
                          <w:r>
                            <w:instrText xml:space="preserve"> PAGE  \* MERGEFORMAT </w:instrText>
                          </w:r>
                          <w:r>
                            <w:fldChar w:fldCharType="separate"/>
                          </w:r>
                          <w:r>
                            <w:t>69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585ABD84">
                    <w:pPr>
                      <w:pStyle w:val="10"/>
                    </w:pPr>
                    <w:r>
                      <w:fldChar w:fldCharType="begin"/>
                    </w:r>
                    <w:r>
                      <w:instrText xml:space="preserve"> PAGE  \* MERGEFORMAT </w:instrText>
                    </w:r>
                    <w:r>
                      <w:fldChar w:fldCharType="separate"/>
                    </w:r>
                    <w:r>
                      <w:t>69</w:t>
                    </w:r>
                    <w:r>
                      <w:fldChar w:fldCharType="end"/>
                    </w:r>
                  </w:p>
                </w:txbxContent>
              </v:textbox>
            </v:shape>
          </w:pict>
        </mc:Fallback>
      </mc:AlternateContent>
    </w:r>
    <w:r>
      <w:rPr>
        <w:rFonts w:ascii="Times New Roman" w:hAnsi="Times New Roman" w:eastAsia="Times New Roman" w:cs="Times New Roman"/>
        <w:spacing w:val="-7"/>
        <w:sz w:val="18"/>
        <w:szCs w:val="18"/>
      </w:rPr>
      <w:t>120</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0C4C69">
    <w:pPr>
      <w:pStyle w:val="1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6D335E">
    <w:pPr>
      <w:pStyle w:val="10"/>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45" name="文本框 4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58790B">
                          <w:pPr>
                            <w:pStyle w:val="10"/>
                          </w:pPr>
                          <w:r>
                            <w:fldChar w:fldCharType="begin"/>
                          </w:r>
                          <w:r>
                            <w:instrText xml:space="preserve"> PAGE  \* MERGEFORMAT </w:instrText>
                          </w:r>
                          <w:r>
                            <w:fldChar w:fldCharType="separate"/>
                          </w:r>
                          <w:r>
                            <w:t>75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bM3OczAgAAYwQAAA4AAABkcnMvZTJvRG9jLnhtbK1UzY7TMBC+I/EO&#10;lu80aWFX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5ok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bM3OczAgAAYwQAAA4AAAAAAAAAAQAgAAAAHwEAAGRycy9lMm9Eb2MueG1sUEsF&#10;BgAAAAAGAAYAWQEAAMQFAAAAAA==&#10;">
              <v:fill on="f" focussize="0,0"/>
              <v:stroke on="f" weight="0.5pt"/>
              <v:imagedata o:title=""/>
              <o:lock v:ext="edit" aspectratio="f"/>
              <v:textbox inset="0mm,0mm,0mm,0mm" style="mso-fit-shape-to-text:t;">
                <w:txbxContent>
                  <w:p w14:paraId="7458790B">
                    <w:pPr>
                      <w:pStyle w:val="10"/>
                    </w:pPr>
                    <w:r>
                      <w:fldChar w:fldCharType="begin"/>
                    </w:r>
                    <w:r>
                      <w:instrText xml:space="preserve"> PAGE  \* MERGEFORMAT </w:instrText>
                    </w:r>
                    <w:r>
                      <w:fldChar w:fldCharType="separate"/>
                    </w:r>
                    <w:r>
                      <w:t>75</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51B49F">
    <w:pPr>
      <w:pStyle w:val="10"/>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62103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62103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0F5584">
                          <w:pPr>
                            <w:pStyle w:val="10"/>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squar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48.9pt;mso-position-horizontal:center;mso-position-horizontal-relative:margin;z-index:251663360;mso-width-relative:page;mso-height-relative:page;" filled="f" stroked="f" coordsize="21600,21600" o:gfxdata="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DXHkoO0wAAAAQBAAAPAAAAAAAAAAEAIAAAACIAAABkcnMvZG93bnJldi54&#10;bWxQSwECFAAUAAAACACHTuJA3IDM8TgCAABkBAAADgAAAAAAAAABACAAAAAiAQAAZHJzL2Uyb0Rv&#10;Yy54bWxQSwUGAAAAAAYABgBZAQAAzAUAAAAA&#10;">
              <v:fill on="f" focussize="0,0"/>
              <v:stroke on="f" weight="0.5pt"/>
              <v:imagedata o:title=""/>
              <o:lock v:ext="edit" aspectratio="f"/>
              <v:textbox inset="0mm,0mm,0mm,0mm" style="mso-fit-shape-to-text:t;">
                <w:txbxContent>
                  <w:p w14:paraId="3F0F5584">
                    <w:pPr>
                      <w:pStyle w:val="10"/>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C41F93">
    <w:pPr>
      <w:pStyle w:val="10"/>
      <w:ind w:firstLine="360"/>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545465" cy="1828800"/>
              <wp:effectExtent l="0" t="0" r="0" b="0"/>
              <wp:wrapNone/>
              <wp:docPr id="52" name="文本框 52"/>
              <wp:cNvGraphicFramePr/>
              <a:graphic xmlns:a="http://schemas.openxmlformats.org/drawingml/2006/main">
                <a:graphicData uri="http://schemas.microsoft.com/office/word/2010/wordprocessingShape">
                  <wps:wsp>
                    <wps:cNvSpPr txBox="1"/>
                    <wps:spPr>
                      <a:xfrm>
                        <a:off x="0" y="0"/>
                        <a:ext cx="545465"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CA399C">
                          <w:pPr>
                            <w:pStyle w:val="10"/>
                          </w:pPr>
                          <w:r>
                            <w:fldChar w:fldCharType="begin"/>
                          </w:r>
                          <w:r>
                            <w:instrText xml:space="preserve"> PAGE  \* MERGEFORMAT </w:instrText>
                          </w:r>
                          <w:r>
                            <w:fldChar w:fldCharType="separate"/>
                          </w:r>
                          <w:r>
                            <w:t>83</w:t>
                          </w:r>
                          <w:r>
                            <w:fldChar w:fldCharType="end"/>
                          </w:r>
                        </w:p>
                      </w:txbxContent>
                    </wps:txbx>
                    <wps:bodyPr rot="0" spcFirstLastPara="0" vertOverflow="overflow" horzOverflow="overflow" vert="horz" wrap="squar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42.95pt;mso-position-horizontal:center;mso-position-horizontal-relative:margin;z-index:251662336;mso-width-relative:page;mso-height-relative:page;" filled="f" stroked="f" coordsize="21600,21600" o:gfxdata="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IqykPXTAAAABAEAAA8AAAAAAAAAAQAgAAAAIgAAAGRycy9kb3ducmV2&#10;LnhtbFBLAQIUABQAAAAIAIdO4kDvd7JGOgIAAGQEAAAOAAAAAAAAAAEAIAAAACIBAABkcnMvZTJv&#10;RG9jLnhtbFBLBQYAAAAABgAGAFkBAADOBQAAAAA=&#10;">
              <v:fill on="f" focussize="0,0"/>
              <v:stroke on="f" weight="0.5pt"/>
              <v:imagedata o:title=""/>
              <o:lock v:ext="edit" aspectratio="f"/>
              <v:textbox inset="0mm,0mm,0mm,0mm" style="mso-fit-shape-to-text:t;">
                <w:txbxContent>
                  <w:p w14:paraId="76CA399C">
                    <w:pPr>
                      <w:pStyle w:val="10"/>
                    </w:pPr>
                    <w:r>
                      <w:fldChar w:fldCharType="begin"/>
                    </w:r>
                    <w:r>
                      <w:instrText xml:space="preserve"> PAGE  \* MERGEFORMAT </w:instrText>
                    </w:r>
                    <w:r>
                      <w:fldChar w:fldCharType="separate"/>
                    </w:r>
                    <w:r>
                      <w:t>83</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60" w:lineRule="auto"/>
        <w:ind w:firstLine="440"/>
      </w:pPr>
      <w:r>
        <w:separator/>
      </w:r>
    </w:p>
  </w:footnote>
  <w:footnote w:type="continuationSeparator" w:id="1">
    <w:p>
      <w:pPr>
        <w:spacing w:before="0" w:after="0" w:line="360" w:lineRule="auto"/>
        <w:ind w:firstLine="4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C9A5E5">
    <w:pPr>
      <w:pStyle w:val="1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F60D7C">
    <w:pPr>
      <w:pStyle w:val="11"/>
      <w:keepNext w:val="0"/>
      <w:keepLines w:val="0"/>
      <w:pageBreakBefore w:val="0"/>
      <w:widowControl/>
      <w:pBdr>
        <w:bottom w:val="single" w:color="auto" w:sz="6" w:space="1"/>
      </w:pBdr>
      <w:kinsoku/>
      <w:wordWrap/>
      <w:overflowPunct/>
      <w:topLinePunct w:val="0"/>
      <w:bidi w:val="0"/>
      <w:adjustRightInd/>
      <w:snapToGrid w:val="0"/>
      <w:spacing w:after="0"/>
      <w:ind w:firstLine="0" w:firstLineChars="0"/>
      <w:jc w:val="right"/>
      <w:textAlignment w:val="auto"/>
      <w:rPr>
        <w:rFonts w:ascii="仿宋_GB2312" w:eastAsia="仿宋_GB2312"/>
        <w:sz w:val="24"/>
        <w:szCs w:val="24"/>
      </w:rPr>
    </w:pPr>
    <w:r>
      <w:rPr>
        <w:rFonts w:hint="eastAsia" w:ascii="仿宋_GB2312" w:eastAsia="仿宋_GB2312"/>
        <w:sz w:val="24"/>
        <w:szCs w:val="24"/>
      </w:rPr>
      <w:t>常山县油茶产业扩面</w:t>
    </w:r>
    <w:r>
      <w:rPr>
        <w:rFonts w:hint="eastAsia" w:ascii="仿宋_GB2312" w:eastAsia="仿宋_GB2312"/>
        <w:sz w:val="24"/>
        <w:szCs w:val="24"/>
        <w:lang w:eastAsia="zh-CN"/>
      </w:rPr>
      <w:t>提质</w:t>
    </w:r>
    <w:r>
      <w:rPr>
        <w:rFonts w:hint="eastAsia" w:ascii="仿宋_GB2312" w:eastAsia="仿宋_GB2312"/>
        <w:sz w:val="24"/>
        <w:szCs w:val="24"/>
      </w:rPr>
      <w:t>示范建设项目</w:t>
    </w:r>
    <w:r>
      <w:rPr>
        <w:rFonts w:hint="eastAsia" w:ascii="仿宋_GB2312" w:eastAsia="仿宋_GB2312"/>
        <w:sz w:val="24"/>
        <w:szCs w:val="24"/>
        <w:lang w:eastAsia="zh-CN"/>
      </w:rPr>
      <w:t>实施方案（第三批）</w:t>
    </w:r>
    <w:r>
      <w:rPr>
        <w:rFonts w:hint="eastAsia" w:ascii="仿宋_GB2312" w:eastAsia="仿宋_GB2312"/>
        <w:sz w:val="24"/>
        <w:szCs w:val="24"/>
        <w:lang w:val="en-US" w:eastAsia="zh-CN"/>
      </w:rPr>
      <w:t>白石镇片区</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EDA55">
    <w:pPr>
      <w:pStyle w:val="11"/>
      <w:pBdr>
        <w:bottom w:val="single" w:color="auto" w:sz="6" w:space="1"/>
      </w:pBdr>
      <w:tabs>
        <w:tab w:val="left" w:pos="6211"/>
        <w:tab w:val="right" w:pos="8426"/>
      </w:tabs>
      <w:jc w:val="right"/>
      <w:rPr>
        <w:rFonts w:hint="eastAsia" w:ascii="仿宋_GB2312" w:eastAsia="仿宋_GB2312"/>
        <w:sz w:val="24"/>
        <w:szCs w:val="24"/>
        <w:lang w:eastAsia="zh-CN"/>
      </w:rPr>
    </w:pPr>
    <w:r>
      <w:rPr>
        <w:rFonts w:hint="eastAsia" w:ascii="仿宋_GB2312" w:eastAsia="仿宋_GB2312"/>
        <w:sz w:val="24"/>
        <w:szCs w:val="24"/>
      </w:rPr>
      <w:t>常山县油茶产业扩面</w:t>
    </w:r>
    <w:r>
      <w:rPr>
        <w:rFonts w:hint="eastAsia" w:ascii="仿宋_GB2312" w:eastAsia="仿宋_GB2312"/>
        <w:sz w:val="24"/>
        <w:szCs w:val="24"/>
        <w:lang w:eastAsia="zh-CN"/>
      </w:rPr>
      <w:t>提质</w:t>
    </w:r>
    <w:r>
      <w:rPr>
        <w:rFonts w:hint="eastAsia" w:ascii="仿宋_GB2312" w:eastAsia="仿宋_GB2312"/>
        <w:sz w:val="24"/>
        <w:szCs w:val="24"/>
      </w:rPr>
      <w:t>示范建设项目</w:t>
    </w:r>
    <w:r>
      <w:rPr>
        <w:rFonts w:hint="eastAsia" w:ascii="仿宋_GB2312" w:eastAsia="仿宋_GB2312"/>
        <w:sz w:val="24"/>
        <w:szCs w:val="24"/>
        <w:lang w:val="en-US" w:eastAsia="zh-CN"/>
      </w:rPr>
      <w:t>实施方案</w:t>
    </w:r>
    <w:r>
      <w:rPr>
        <w:rFonts w:hint="eastAsia" w:ascii="仿宋_GB2312" w:eastAsia="仿宋_GB2312"/>
        <w:sz w:val="24"/>
        <w:szCs w:val="24"/>
        <w:lang w:eastAsia="zh-CN"/>
      </w:rPr>
      <w:t>（第三批）</w:t>
    </w:r>
    <w:r>
      <w:rPr>
        <w:rFonts w:hint="eastAsia" w:ascii="仿宋_GB2312" w:eastAsia="仿宋_GB2312"/>
        <w:sz w:val="24"/>
        <w:szCs w:val="24"/>
        <w:lang w:val="en-US" w:eastAsia="zh-CN"/>
      </w:rPr>
      <w:t>白石镇片区</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CDF973">
    <w:pPr>
      <w:pStyle w:val="11"/>
      <w:keepNext w:val="0"/>
      <w:keepLines w:val="0"/>
      <w:pageBreakBefore w:val="0"/>
      <w:widowControl/>
      <w:pBdr>
        <w:bottom w:val="single" w:color="auto" w:sz="6" w:space="1"/>
      </w:pBdr>
      <w:kinsoku/>
      <w:wordWrap/>
      <w:overflowPunct/>
      <w:topLinePunct w:val="0"/>
      <w:bidi w:val="0"/>
      <w:adjustRightInd/>
      <w:snapToGrid w:val="0"/>
      <w:spacing w:after="0"/>
      <w:ind w:firstLine="0" w:firstLineChars="0"/>
      <w:jc w:val="left"/>
      <w:textAlignment w:val="auto"/>
      <w:rPr>
        <w:rFonts w:hint="default" w:ascii="仿宋_GB2312" w:eastAsia="仿宋_GB2312"/>
        <w:sz w:val="24"/>
        <w:szCs w:val="24"/>
        <w:lang w:val="en-US"/>
      </w:rPr>
    </w:pPr>
    <w:r>
      <w:rPr>
        <w:rFonts w:hint="eastAsia" w:ascii="仿宋_GB2312" w:eastAsia="仿宋_GB2312"/>
        <w:sz w:val="24"/>
        <w:szCs w:val="24"/>
      </w:rPr>
      <w:t>常山县油茶产业扩面</w:t>
    </w:r>
    <w:r>
      <w:rPr>
        <w:rFonts w:hint="eastAsia" w:ascii="仿宋_GB2312" w:eastAsia="仿宋_GB2312"/>
        <w:sz w:val="24"/>
        <w:szCs w:val="24"/>
        <w:lang w:eastAsia="zh-CN"/>
      </w:rPr>
      <w:t>提质</w:t>
    </w:r>
    <w:r>
      <w:rPr>
        <w:rFonts w:hint="eastAsia" w:ascii="仿宋_GB2312" w:eastAsia="仿宋_GB2312"/>
        <w:sz w:val="24"/>
        <w:szCs w:val="24"/>
      </w:rPr>
      <w:t>示范建设项目</w:t>
    </w:r>
    <w:r>
      <w:rPr>
        <w:rFonts w:hint="eastAsia" w:ascii="仿宋_GB2312" w:eastAsia="仿宋_GB2312"/>
        <w:sz w:val="24"/>
        <w:szCs w:val="24"/>
        <w:lang w:val="en-US" w:eastAsia="zh-CN"/>
      </w:rPr>
      <w:t>实施方案</w:t>
    </w:r>
    <w:r>
      <w:rPr>
        <w:rFonts w:hint="eastAsia" w:ascii="仿宋_GB2312" w:eastAsia="仿宋_GB2312"/>
        <w:sz w:val="24"/>
        <w:szCs w:val="24"/>
        <w:lang w:eastAsia="zh-CN"/>
      </w:rPr>
      <w:t>（第三批）</w:t>
    </w:r>
    <w:r>
      <w:rPr>
        <w:rFonts w:hint="eastAsia" w:ascii="仿宋_GB2312" w:eastAsia="仿宋_GB2312"/>
        <w:sz w:val="24"/>
        <w:szCs w:val="24"/>
        <w:lang w:val="en-US" w:eastAsia="zh-CN"/>
      </w:rPr>
      <w:t>白石镇片区</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8CC4C5">
    <w:pPr>
      <w:pStyle w:val="11"/>
      <w:rPr>
        <w:rFonts w:hint="eastAsia"/>
        <w:lang w:val="en-US"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E76530">
    <w:pPr>
      <w:pStyle w:val="11"/>
      <w:keepNext w:val="0"/>
      <w:keepLines w:val="0"/>
      <w:pageBreakBefore w:val="0"/>
      <w:widowControl/>
      <w:pBdr>
        <w:bottom w:val="single" w:color="auto" w:sz="6" w:space="1"/>
      </w:pBdr>
      <w:kinsoku/>
      <w:wordWrap/>
      <w:overflowPunct/>
      <w:topLinePunct w:val="0"/>
      <w:bidi w:val="0"/>
      <w:adjustRightInd/>
      <w:snapToGrid w:val="0"/>
      <w:spacing w:after="0"/>
      <w:ind w:firstLine="0" w:firstLineChars="0"/>
      <w:jc w:val="left"/>
      <w:textAlignment w:val="auto"/>
      <w:rPr>
        <w:rFonts w:hint="default" w:ascii="仿宋_GB2312" w:eastAsia="仿宋_GB2312"/>
        <w:sz w:val="24"/>
        <w:szCs w:val="24"/>
        <w:lang w:val="en-US"/>
      </w:rPr>
    </w:pPr>
    <w:r>
      <w:rPr>
        <w:rFonts w:hint="eastAsia" w:ascii="仿宋_GB2312" w:eastAsia="仿宋_GB2312"/>
        <w:sz w:val="24"/>
        <w:szCs w:val="24"/>
      </w:rPr>
      <w:t>常山县油茶产业扩面</w:t>
    </w:r>
    <w:r>
      <w:rPr>
        <w:rFonts w:hint="eastAsia" w:ascii="仿宋_GB2312" w:eastAsia="仿宋_GB2312"/>
        <w:sz w:val="24"/>
        <w:szCs w:val="24"/>
        <w:lang w:eastAsia="zh-CN"/>
      </w:rPr>
      <w:t>提质</w:t>
    </w:r>
    <w:r>
      <w:rPr>
        <w:rFonts w:hint="eastAsia" w:ascii="仿宋_GB2312" w:eastAsia="仿宋_GB2312"/>
        <w:sz w:val="24"/>
        <w:szCs w:val="24"/>
      </w:rPr>
      <w:t>示范建设项目</w:t>
    </w:r>
    <w:r>
      <w:rPr>
        <w:rFonts w:hint="eastAsia" w:ascii="仿宋_GB2312" w:eastAsia="仿宋_GB2312"/>
        <w:sz w:val="24"/>
        <w:szCs w:val="24"/>
        <w:lang w:eastAsia="zh-CN"/>
      </w:rPr>
      <w:t>实施方案（第三批）</w:t>
    </w:r>
    <w:r>
      <w:rPr>
        <w:rFonts w:hint="eastAsia" w:ascii="仿宋_GB2312" w:eastAsia="仿宋_GB2312"/>
        <w:sz w:val="24"/>
        <w:szCs w:val="24"/>
        <w:lang w:val="en-US" w:eastAsia="zh-CN"/>
      </w:rPr>
      <w:t>白石镇片区-目录</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D2C95">
    <w:pPr>
      <w:pStyle w:val="11"/>
      <w:keepNext w:val="0"/>
      <w:keepLines w:val="0"/>
      <w:pageBreakBefore w:val="0"/>
      <w:widowControl/>
      <w:pBdr>
        <w:bottom w:val="single" w:color="auto" w:sz="6" w:space="1"/>
      </w:pBdr>
      <w:kinsoku/>
      <w:wordWrap/>
      <w:overflowPunct/>
      <w:topLinePunct w:val="0"/>
      <w:bidi w:val="0"/>
      <w:adjustRightInd/>
      <w:snapToGrid w:val="0"/>
      <w:spacing w:after="0"/>
      <w:ind w:firstLine="0" w:firstLineChars="0"/>
      <w:jc w:val="right"/>
      <w:textAlignment w:val="auto"/>
      <w:rPr>
        <w:rFonts w:hint="default" w:ascii="仿宋_GB2312" w:eastAsia="仿宋_GB2312"/>
        <w:sz w:val="24"/>
        <w:szCs w:val="24"/>
        <w:lang w:val="en-US"/>
      </w:rPr>
    </w:pPr>
    <w:r>
      <w:rPr>
        <w:rFonts w:hint="eastAsia" w:ascii="仿宋_GB2312" w:eastAsia="仿宋_GB2312"/>
        <w:sz w:val="24"/>
        <w:szCs w:val="24"/>
      </w:rPr>
      <w:t>常山县油茶产业扩面</w:t>
    </w:r>
    <w:r>
      <w:rPr>
        <w:rFonts w:hint="eastAsia" w:ascii="仿宋_GB2312" w:eastAsia="仿宋_GB2312"/>
        <w:sz w:val="24"/>
        <w:szCs w:val="24"/>
        <w:lang w:eastAsia="zh-CN"/>
      </w:rPr>
      <w:t>提质</w:t>
    </w:r>
    <w:r>
      <w:rPr>
        <w:rFonts w:hint="eastAsia" w:ascii="仿宋_GB2312" w:eastAsia="仿宋_GB2312"/>
        <w:sz w:val="24"/>
        <w:szCs w:val="24"/>
      </w:rPr>
      <w:t>示范建设项目</w:t>
    </w:r>
    <w:r>
      <w:rPr>
        <w:rFonts w:hint="eastAsia" w:ascii="仿宋_GB2312" w:eastAsia="仿宋_GB2312"/>
        <w:sz w:val="24"/>
        <w:szCs w:val="24"/>
        <w:lang w:val="en-US" w:eastAsia="zh-CN"/>
      </w:rPr>
      <w:t>实施方案</w:t>
    </w:r>
    <w:r>
      <w:rPr>
        <w:rFonts w:hint="eastAsia" w:ascii="仿宋_GB2312" w:eastAsia="仿宋_GB2312"/>
        <w:sz w:val="24"/>
        <w:szCs w:val="24"/>
        <w:lang w:eastAsia="zh-CN"/>
      </w:rPr>
      <w:t>（第三批）</w:t>
    </w:r>
    <w:r>
      <w:rPr>
        <w:rFonts w:hint="eastAsia" w:ascii="仿宋_GB2312" w:eastAsia="仿宋_GB2312"/>
        <w:sz w:val="24"/>
        <w:szCs w:val="24"/>
        <w:lang w:val="en-US" w:eastAsia="zh-CN"/>
      </w:rPr>
      <w:t>白石镇片区-目录</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FF3D90">
    <w:pPr>
      <w:pStyle w:val="11"/>
      <w:keepNext w:val="0"/>
      <w:keepLines w:val="0"/>
      <w:pageBreakBefore w:val="0"/>
      <w:widowControl/>
      <w:pBdr>
        <w:bottom w:val="single" w:color="auto" w:sz="6" w:space="1"/>
      </w:pBdr>
      <w:kinsoku/>
      <w:wordWrap/>
      <w:overflowPunct/>
      <w:topLinePunct w:val="0"/>
      <w:bidi w:val="0"/>
      <w:adjustRightInd/>
      <w:snapToGrid w:val="0"/>
      <w:spacing w:after="0"/>
      <w:ind w:firstLine="0" w:firstLineChars="0"/>
      <w:jc w:val="right"/>
      <w:textAlignment w:val="auto"/>
      <w:rPr>
        <w:rFonts w:hint="default" w:ascii="仿宋_GB2312" w:eastAsia="仿宋_GB2312"/>
        <w:sz w:val="24"/>
        <w:szCs w:val="24"/>
        <w:lang w:val="en-US"/>
      </w:rPr>
    </w:pPr>
    <w:r>
      <w:rPr>
        <w:rFonts w:hint="eastAsia" w:ascii="仿宋_GB2312" w:eastAsia="仿宋_GB2312"/>
        <w:sz w:val="24"/>
        <w:szCs w:val="24"/>
        <w:lang w:eastAsia="zh-CN"/>
      </w:rPr>
      <w:tab/>
    </w:r>
    <w:r>
      <w:rPr>
        <w:rFonts w:hint="eastAsia" w:ascii="仿宋_GB2312" w:eastAsia="仿宋_GB2312"/>
        <w:sz w:val="24"/>
        <w:szCs w:val="24"/>
      </w:rPr>
      <w:t>常山县油茶产业扩面</w:t>
    </w:r>
    <w:r>
      <w:rPr>
        <w:rFonts w:hint="eastAsia" w:ascii="仿宋_GB2312" w:eastAsia="仿宋_GB2312"/>
        <w:sz w:val="24"/>
        <w:szCs w:val="24"/>
        <w:lang w:eastAsia="zh-CN"/>
      </w:rPr>
      <w:t>提质</w:t>
    </w:r>
    <w:r>
      <w:rPr>
        <w:rFonts w:hint="eastAsia" w:ascii="仿宋_GB2312" w:eastAsia="仿宋_GB2312"/>
        <w:sz w:val="24"/>
        <w:szCs w:val="24"/>
      </w:rPr>
      <w:t>示范建设项目</w:t>
    </w:r>
    <w:r>
      <w:rPr>
        <w:rFonts w:hint="eastAsia" w:ascii="仿宋_GB2312" w:eastAsia="仿宋_GB2312"/>
        <w:sz w:val="24"/>
        <w:szCs w:val="24"/>
        <w:lang w:eastAsia="zh-CN"/>
      </w:rPr>
      <w:t>实施方案（第三批）</w:t>
    </w:r>
    <w:r>
      <w:rPr>
        <w:rFonts w:hint="eastAsia" w:ascii="仿宋_GB2312" w:eastAsia="仿宋_GB2312"/>
        <w:sz w:val="24"/>
        <w:szCs w:val="24"/>
        <w:lang w:val="en-US" w:eastAsia="zh-CN"/>
      </w:rPr>
      <w:t>白石镇片区</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31EA10">
    <w:pPr>
      <w:pStyle w:val="11"/>
      <w:keepNext w:val="0"/>
      <w:keepLines w:val="0"/>
      <w:pageBreakBefore w:val="0"/>
      <w:widowControl/>
      <w:pBdr>
        <w:bottom w:val="single" w:color="auto" w:sz="6" w:space="1"/>
      </w:pBdr>
      <w:kinsoku/>
      <w:wordWrap/>
      <w:overflowPunct/>
      <w:topLinePunct w:val="0"/>
      <w:bidi w:val="0"/>
      <w:adjustRightInd/>
      <w:snapToGrid w:val="0"/>
      <w:spacing w:after="0"/>
      <w:ind w:firstLine="0" w:firstLineChars="0"/>
      <w:jc w:val="left"/>
      <w:textAlignment w:val="auto"/>
      <w:rPr>
        <w:rFonts w:hint="default" w:ascii="仿宋_GB2312" w:eastAsia="仿宋_GB2312"/>
        <w:sz w:val="24"/>
        <w:szCs w:val="24"/>
        <w:lang w:val="en-US"/>
      </w:rPr>
    </w:pPr>
    <w:r>
      <w:rPr>
        <w:rFonts w:hint="eastAsia" w:ascii="仿宋_GB2312" w:eastAsia="仿宋_GB2312"/>
        <w:sz w:val="24"/>
        <w:szCs w:val="24"/>
      </w:rPr>
      <w:t>常山县油茶产业扩面</w:t>
    </w:r>
    <w:r>
      <w:rPr>
        <w:rFonts w:hint="eastAsia" w:ascii="仿宋_GB2312" w:eastAsia="仿宋_GB2312"/>
        <w:sz w:val="24"/>
        <w:szCs w:val="24"/>
        <w:lang w:eastAsia="zh-CN"/>
      </w:rPr>
      <w:t>提质</w:t>
    </w:r>
    <w:r>
      <w:rPr>
        <w:rFonts w:hint="eastAsia" w:ascii="仿宋_GB2312" w:eastAsia="仿宋_GB2312"/>
        <w:sz w:val="24"/>
        <w:szCs w:val="24"/>
      </w:rPr>
      <w:t>示范建设项目</w:t>
    </w:r>
    <w:r>
      <w:rPr>
        <w:rFonts w:hint="eastAsia" w:ascii="仿宋_GB2312" w:eastAsia="仿宋_GB2312"/>
        <w:sz w:val="24"/>
        <w:szCs w:val="24"/>
        <w:lang w:eastAsia="zh-CN"/>
      </w:rPr>
      <w:t>实施方案（第三批）</w:t>
    </w:r>
    <w:r>
      <w:rPr>
        <w:rFonts w:hint="eastAsia" w:ascii="仿宋_GB2312" w:eastAsia="仿宋_GB2312"/>
        <w:sz w:val="24"/>
        <w:szCs w:val="24"/>
        <w:lang w:val="en-US" w:eastAsia="zh-CN"/>
      </w:rPr>
      <w:t>白石镇片区</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273559">
    <w:pPr>
      <w:pStyle w:val="11"/>
      <w:keepNext w:val="0"/>
      <w:keepLines w:val="0"/>
      <w:pageBreakBefore w:val="0"/>
      <w:widowControl/>
      <w:pBdr>
        <w:bottom w:val="single" w:color="auto" w:sz="6" w:space="1"/>
      </w:pBdr>
      <w:kinsoku/>
      <w:wordWrap/>
      <w:overflowPunct/>
      <w:topLinePunct w:val="0"/>
      <w:bidi w:val="0"/>
      <w:adjustRightInd/>
      <w:snapToGrid w:val="0"/>
      <w:spacing w:after="0"/>
      <w:ind w:firstLine="0" w:firstLineChars="0"/>
      <w:jc w:val="right"/>
      <w:textAlignment w:val="auto"/>
      <w:rPr>
        <w:rFonts w:ascii="仿宋_GB2312" w:eastAsia="仿宋_GB2312"/>
        <w:sz w:val="24"/>
        <w:szCs w:val="24"/>
      </w:rPr>
    </w:pPr>
    <w:r>
      <w:rPr>
        <w:rFonts w:hint="eastAsia" w:ascii="仿宋_GB2312" w:eastAsia="仿宋_GB2312"/>
        <w:sz w:val="24"/>
        <w:szCs w:val="24"/>
      </w:rPr>
      <w:t>常山县油茶产业扩面</w:t>
    </w:r>
    <w:r>
      <w:rPr>
        <w:rFonts w:hint="eastAsia" w:ascii="仿宋_GB2312" w:eastAsia="仿宋_GB2312"/>
        <w:sz w:val="24"/>
        <w:szCs w:val="24"/>
        <w:lang w:eastAsia="zh-CN"/>
      </w:rPr>
      <w:t>提质</w:t>
    </w:r>
    <w:r>
      <w:rPr>
        <w:rFonts w:hint="eastAsia" w:ascii="仿宋_GB2312" w:eastAsia="仿宋_GB2312"/>
        <w:sz w:val="24"/>
        <w:szCs w:val="24"/>
      </w:rPr>
      <w:t>示范建设项目</w:t>
    </w:r>
    <w:r>
      <w:rPr>
        <w:rFonts w:hint="eastAsia" w:ascii="仿宋_GB2312" w:eastAsia="仿宋_GB2312"/>
        <w:sz w:val="24"/>
        <w:szCs w:val="24"/>
        <w:lang w:eastAsia="zh-CN"/>
      </w:rPr>
      <w:t>实施方案（第三批）</w:t>
    </w:r>
    <w:r>
      <w:rPr>
        <w:rFonts w:hint="eastAsia" w:ascii="仿宋_GB2312" w:eastAsia="仿宋_GB2312"/>
        <w:sz w:val="24"/>
        <w:szCs w:val="24"/>
        <w:lang w:val="en-US" w:eastAsia="zh-CN"/>
      </w:rPr>
      <w:t>白石镇片区</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39EA12">
    <w:pPr>
      <w:pStyle w:val="11"/>
      <w:keepNext w:val="0"/>
      <w:keepLines w:val="0"/>
      <w:pageBreakBefore w:val="0"/>
      <w:widowControl/>
      <w:pBdr>
        <w:bottom w:val="single" w:color="auto" w:sz="6" w:space="1"/>
      </w:pBdr>
      <w:kinsoku/>
      <w:wordWrap/>
      <w:overflowPunct/>
      <w:topLinePunct w:val="0"/>
      <w:bidi w:val="0"/>
      <w:adjustRightInd/>
      <w:snapToGrid w:val="0"/>
      <w:spacing w:after="0"/>
      <w:ind w:firstLine="0" w:firstLineChars="0"/>
      <w:jc w:val="right"/>
      <w:textAlignment w:val="auto"/>
      <w:rPr>
        <w:rFonts w:ascii="仿宋_GB2312" w:eastAsia="仿宋_GB2312"/>
        <w:sz w:val="24"/>
        <w:szCs w:val="24"/>
      </w:rPr>
    </w:pPr>
    <w:r>
      <w:rPr>
        <w:rFonts w:hint="eastAsia" w:ascii="仿宋_GB2312" w:eastAsia="仿宋_GB2312"/>
        <w:sz w:val="24"/>
        <w:szCs w:val="24"/>
      </w:rPr>
      <w:t>常山县油茶产业扩面</w:t>
    </w:r>
    <w:r>
      <w:rPr>
        <w:rFonts w:hint="eastAsia" w:ascii="仿宋_GB2312" w:eastAsia="仿宋_GB2312"/>
        <w:sz w:val="24"/>
        <w:szCs w:val="24"/>
        <w:lang w:eastAsia="zh-CN"/>
      </w:rPr>
      <w:t>提质</w:t>
    </w:r>
    <w:r>
      <w:rPr>
        <w:rFonts w:hint="eastAsia" w:ascii="仿宋_GB2312" w:eastAsia="仿宋_GB2312"/>
        <w:sz w:val="24"/>
        <w:szCs w:val="24"/>
      </w:rPr>
      <w:t>示范建设项目</w:t>
    </w:r>
    <w:r>
      <w:rPr>
        <w:rFonts w:hint="eastAsia" w:ascii="仿宋_GB2312" w:eastAsia="仿宋_GB2312"/>
        <w:sz w:val="24"/>
        <w:szCs w:val="24"/>
        <w:lang w:eastAsia="zh-CN"/>
      </w:rPr>
      <w:t>实施方案（第三批）</w:t>
    </w:r>
    <w:r>
      <w:rPr>
        <w:rFonts w:hint="eastAsia" w:ascii="仿宋_GB2312" w:eastAsia="仿宋_GB2312"/>
        <w:sz w:val="24"/>
        <w:szCs w:val="24"/>
        <w:lang w:val="en-US" w:eastAsia="zh-CN"/>
      </w:rPr>
      <w:t>白石镇片区</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A9AAB1">
    <w:pPr>
      <w:pStyle w:val="11"/>
      <w:keepNext w:val="0"/>
      <w:keepLines w:val="0"/>
      <w:pageBreakBefore w:val="0"/>
      <w:widowControl/>
      <w:pBdr>
        <w:bottom w:val="single" w:color="auto" w:sz="6" w:space="1"/>
      </w:pBdr>
      <w:kinsoku/>
      <w:wordWrap/>
      <w:overflowPunct/>
      <w:topLinePunct w:val="0"/>
      <w:bidi w:val="0"/>
      <w:adjustRightInd/>
      <w:snapToGrid w:val="0"/>
      <w:spacing w:after="0"/>
      <w:ind w:firstLine="0" w:firstLineChars="0"/>
      <w:jc w:val="left"/>
      <w:textAlignment w:val="auto"/>
      <w:rPr>
        <w:rFonts w:hint="default" w:ascii="仿宋_GB2312" w:eastAsia="仿宋_GB2312"/>
        <w:sz w:val="24"/>
        <w:szCs w:val="24"/>
        <w:lang w:val="en-US"/>
      </w:rPr>
    </w:pPr>
    <w:r>
      <w:rPr>
        <w:rFonts w:hint="eastAsia" w:ascii="仿宋_GB2312" w:eastAsia="仿宋_GB2312"/>
        <w:sz w:val="24"/>
        <w:szCs w:val="24"/>
      </w:rPr>
      <w:t>常山县油茶产业扩面</w:t>
    </w:r>
    <w:r>
      <w:rPr>
        <w:rFonts w:hint="eastAsia" w:ascii="仿宋_GB2312" w:eastAsia="仿宋_GB2312"/>
        <w:sz w:val="24"/>
        <w:szCs w:val="24"/>
        <w:lang w:eastAsia="zh-CN"/>
      </w:rPr>
      <w:t>提质</w:t>
    </w:r>
    <w:r>
      <w:rPr>
        <w:rFonts w:hint="eastAsia" w:ascii="仿宋_GB2312" w:eastAsia="仿宋_GB2312"/>
        <w:sz w:val="24"/>
        <w:szCs w:val="24"/>
      </w:rPr>
      <w:t>示范建设项目</w:t>
    </w:r>
    <w:r>
      <w:rPr>
        <w:rFonts w:hint="eastAsia" w:ascii="仿宋_GB2312" w:eastAsia="仿宋_GB2312"/>
        <w:sz w:val="24"/>
        <w:szCs w:val="24"/>
        <w:lang w:eastAsia="zh-CN"/>
      </w:rPr>
      <w:t>实施方案（第三批）</w:t>
    </w:r>
    <w:r>
      <w:rPr>
        <w:rFonts w:hint="eastAsia" w:ascii="仿宋_GB2312" w:eastAsia="仿宋_GB2312"/>
        <w:sz w:val="24"/>
        <w:szCs w:val="24"/>
        <w:lang w:val="en-US" w:eastAsia="zh-CN"/>
      </w:rPr>
      <w:t>白石镇片区</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C10E6DC"/>
    <w:multiLevelType w:val="multilevel"/>
    <w:tmpl w:val="BC10E6DC"/>
    <w:lvl w:ilvl="0" w:tentative="0">
      <w:start w:val="1"/>
      <w:numFmt w:val="decimal"/>
      <w:lvlText w:val="%1."/>
      <w:lvlJc w:val="left"/>
      <w:pPr>
        <w:tabs>
          <w:tab w:val="left" w:pos="2559"/>
        </w:tabs>
        <w:ind w:left="2559" w:hanging="432"/>
      </w:pPr>
      <w:rPr>
        <w:rFonts w:hint="eastAsia"/>
      </w:rPr>
    </w:lvl>
    <w:lvl w:ilvl="1" w:tentative="0">
      <w:start w:val="1"/>
      <w:numFmt w:val="decimal"/>
      <w:lvlText w:val="%1.%2"/>
      <w:lvlJc w:val="left"/>
      <w:pPr>
        <w:tabs>
          <w:tab w:val="left" w:pos="1002"/>
        </w:tabs>
        <w:ind w:left="1002" w:hanging="576"/>
      </w:pPr>
      <w:rPr>
        <w:rFonts w:hint="default" w:ascii="宋体" w:hAnsi="宋体" w:eastAsia="宋体"/>
        <w:b/>
        <w:bCs/>
        <w:color w:val="auto"/>
      </w:rPr>
    </w:lvl>
    <w:lvl w:ilvl="2" w:tentative="0">
      <w:start w:val="1"/>
      <w:numFmt w:val="decimal"/>
      <w:suff w:val="space"/>
      <w:lvlText w:val="%1.%2.%3"/>
      <w:lvlJc w:val="left"/>
      <w:pPr>
        <w:ind w:left="0" w:firstLine="0"/>
      </w:pPr>
      <w:rPr>
        <w:rFonts w:hint="eastAsia"/>
      </w:rPr>
    </w:lvl>
    <w:lvl w:ilvl="3" w:tentative="0">
      <w:start w:val="1"/>
      <w:numFmt w:val="decimal"/>
      <w:lvlText w:val="%1.%2.%3.%4"/>
      <w:lvlJc w:val="left"/>
      <w:pPr>
        <w:tabs>
          <w:tab w:val="left" w:pos="864"/>
        </w:tabs>
        <w:ind w:left="86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pStyle w:val="5"/>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embedSystemFonts/>
  <w:bordersDoNotSurroundHeader w:val="0"/>
  <w:bordersDoNotSurroundFooter w:val="0"/>
  <w:trackRevisions w:val="1"/>
  <w:documentProtection w:enforcement="0"/>
  <w:defaultTabStop w:val="420"/>
  <w:evenAndOddHeaders w:val="1"/>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QxMTU4ZjUxZTk5YzBkYjAwOWQyMzg2YzYxOWQyNGIifQ=="/>
  </w:docVars>
  <w:rsids>
    <w:rsidRoot w:val="00000000"/>
    <w:rsid w:val="001C0FCB"/>
    <w:rsid w:val="00237B35"/>
    <w:rsid w:val="002C4449"/>
    <w:rsid w:val="003577A2"/>
    <w:rsid w:val="00874A5A"/>
    <w:rsid w:val="00B71F65"/>
    <w:rsid w:val="00B910D3"/>
    <w:rsid w:val="00D57F1F"/>
    <w:rsid w:val="012F41F1"/>
    <w:rsid w:val="013E6E1F"/>
    <w:rsid w:val="0147698D"/>
    <w:rsid w:val="01553765"/>
    <w:rsid w:val="015856AD"/>
    <w:rsid w:val="01642859"/>
    <w:rsid w:val="01860A1E"/>
    <w:rsid w:val="01BB3CD7"/>
    <w:rsid w:val="01C04E49"/>
    <w:rsid w:val="01C74D85"/>
    <w:rsid w:val="021144F5"/>
    <w:rsid w:val="02203B3A"/>
    <w:rsid w:val="02317CCC"/>
    <w:rsid w:val="02345366"/>
    <w:rsid w:val="02535CBD"/>
    <w:rsid w:val="02556D89"/>
    <w:rsid w:val="0261765F"/>
    <w:rsid w:val="026E3BB6"/>
    <w:rsid w:val="027052DA"/>
    <w:rsid w:val="02C84B15"/>
    <w:rsid w:val="02D27594"/>
    <w:rsid w:val="02EA3141"/>
    <w:rsid w:val="030A12C3"/>
    <w:rsid w:val="03122A4D"/>
    <w:rsid w:val="03254E27"/>
    <w:rsid w:val="03262486"/>
    <w:rsid w:val="034A3F1B"/>
    <w:rsid w:val="035356C2"/>
    <w:rsid w:val="036A7762"/>
    <w:rsid w:val="038325D2"/>
    <w:rsid w:val="03A854EF"/>
    <w:rsid w:val="03CC3CA4"/>
    <w:rsid w:val="03E5503B"/>
    <w:rsid w:val="040E63ED"/>
    <w:rsid w:val="04113803"/>
    <w:rsid w:val="042E69E2"/>
    <w:rsid w:val="043079EB"/>
    <w:rsid w:val="047A5517"/>
    <w:rsid w:val="04A3127E"/>
    <w:rsid w:val="04AD0191"/>
    <w:rsid w:val="04FB670A"/>
    <w:rsid w:val="05060A28"/>
    <w:rsid w:val="050A572D"/>
    <w:rsid w:val="050B0AD1"/>
    <w:rsid w:val="05171224"/>
    <w:rsid w:val="05184C0D"/>
    <w:rsid w:val="0523660E"/>
    <w:rsid w:val="052B3A8A"/>
    <w:rsid w:val="055408B5"/>
    <w:rsid w:val="055532D1"/>
    <w:rsid w:val="055A7006"/>
    <w:rsid w:val="05600041"/>
    <w:rsid w:val="0566417E"/>
    <w:rsid w:val="058D656E"/>
    <w:rsid w:val="0590561A"/>
    <w:rsid w:val="059268C4"/>
    <w:rsid w:val="059D4669"/>
    <w:rsid w:val="05A55870"/>
    <w:rsid w:val="05A9719A"/>
    <w:rsid w:val="05AD3936"/>
    <w:rsid w:val="05E74815"/>
    <w:rsid w:val="05EF21A1"/>
    <w:rsid w:val="06010A4F"/>
    <w:rsid w:val="06040A88"/>
    <w:rsid w:val="060F45F1"/>
    <w:rsid w:val="061F5321"/>
    <w:rsid w:val="06252515"/>
    <w:rsid w:val="063E0174"/>
    <w:rsid w:val="06405268"/>
    <w:rsid w:val="06495C0C"/>
    <w:rsid w:val="065B3392"/>
    <w:rsid w:val="069254E7"/>
    <w:rsid w:val="069A60B5"/>
    <w:rsid w:val="06B52A93"/>
    <w:rsid w:val="06FC6EAE"/>
    <w:rsid w:val="07091971"/>
    <w:rsid w:val="070C2530"/>
    <w:rsid w:val="07311667"/>
    <w:rsid w:val="07320557"/>
    <w:rsid w:val="073E518E"/>
    <w:rsid w:val="074D535C"/>
    <w:rsid w:val="07566F74"/>
    <w:rsid w:val="075A6F5D"/>
    <w:rsid w:val="07786EB2"/>
    <w:rsid w:val="07B5200C"/>
    <w:rsid w:val="07E36A13"/>
    <w:rsid w:val="08516C8F"/>
    <w:rsid w:val="085267E1"/>
    <w:rsid w:val="085926D0"/>
    <w:rsid w:val="08731407"/>
    <w:rsid w:val="088376DE"/>
    <w:rsid w:val="08AB448B"/>
    <w:rsid w:val="08BA031E"/>
    <w:rsid w:val="08DC6BCA"/>
    <w:rsid w:val="09115E57"/>
    <w:rsid w:val="091A666A"/>
    <w:rsid w:val="092B34F0"/>
    <w:rsid w:val="093715BF"/>
    <w:rsid w:val="093D1475"/>
    <w:rsid w:val="09454432"/>
    <w:rsid w:val="095A6844"/>
    <w:rsid w:val="09746EB0"/>
    <w:rsid w:val="0979603C"/>
    <w:rsid w:val="097F7444"/>
    <w:rsid w:val="09815806"/>
    <w:rsid w:val="098353CA"/>
    <w:rsid w:val="098A4403"/>
    <w:rsid w:val="09B21785"/>
    <w:rsid w:val="09BE6D79"/>
    <w:rsid w:val="09C37E46"/>
    <w:rsid w:val="09C83435"/>
    <w:rsid w:val="09D12C2F"/>
    <w:rsid w:val="0A1B560E"/>
    <w:rsid w:val="0A4C4C04"/>
    <w:rsid w:val="0A6C75E2"/>
    <w:rsid w:val="0A747118"/>
    <w:rsid w:val="0A7E1D45"/>
    <w:rsid w:val="0A7E3AF3"/>
    <w:rsid w:val="0A8A603B"/>
    <w:rsid w:val="0A8E01DA"/>
    <w:rsid w:val="0A9D041D"/>
    <w:rsid w:val="0AA80DCC"/>
    <w:rsid w:val="0AA90B70"/>
    <w:rsid w:val="0AB2675B"/>
    <w:rsid w:val="0AC56BBC"/>
    <w:rsid w:val="0AC9473D"/>
    <w:rsid w:val="0ACA5906"/>
    <w:rsid w:val="0ACB31DC"/>
    <w:rsid w:val="0AEF78BA"/>
    <w:rsid w:val="0B032431"/>
    <w:rsid w:val="0B183F48"/>
    <w:rsid w:val="0B3A5BE6"/>
    <w:rsid w:val="0B3B1EE9"/>
    <w:rsid w:val="0B7123DD"/>
    <w:rsid w:val="0B856D32"/>
    <w:rsid w:val="0B970763"/>
    <w:rsid w:val="0B9F01C5"/>
    <w:rsid w:val="0BA06E6A"/>
    <w:rsid w:val="0BA36C91"/>
    <w:rsid w:val="0BC16A2E"/>
    <w:rsid w:val="0BD57EF2"/>
    <w:rsid w:val="0BEF4F5E"/>
    <w:rsid w:val="0BF03398"/>
    <w:rsid w:val="0C077CF1"/>
    <w:rsid w:val="0C1D3528"/>
    <w:rsid w:val="0C226AD0"/>
    <w:rsid w:val="0C3C171A"/>
    <w:rsid w:val="0C406AA1"/>
    <w:rsid w:val="0C471F3A"/>
    <w:rsid w:val="0C8D42BB"/>
    <w:rsid w:val="0CA02447"/>
    <w:rsid w:val="0CA416CA"/>
    <w:rsid w:val="0CBE246E"/>
    <w:rsid w:val="0CD43E9E"/>
    <w:rsid w:val="0CE32CEF"/>
    <w:rsid w:val="0CE743E0"/>
    <w:rsid w:val="0CE93CB9"/>
    <w:rsid w:val="0CEC7D6C"/>
    <w:rsid w:val="0CF049E3"/>
    <w:rsid w:val="0CF167FE"/>
    <w:rsid w:val="0CF307C8"/>
    <w:rsid w:val="0D1B5078"/>
    <w:rsid w:val="0D252EB2"/>
    <w:rsid w:val="0D2F3771"/>
    <w:rsid w:val="0D307327"/>
    <w:rsid w:val="0D4B15B3"/>
    <w:rsid w:val="0D4F2E1E"/>
    <w:rsid w:val="0D842293"/>
    <w:rsid w:val="0D927215"/>
    <w:rsid w:val="0D931D83"/>
    <w:rsid w:val="0DA52050"/>
    <w:rsid w:val="0DA62307"/>
    <w:rsid w:val="0DA90E87"/>
    <w:rsid w:val="0DC0496E"/>
    <w:rsid w:val="0DC90CE8"/>
    <w:rsid w:val="0DF91960"/>
    <w:rsid w:val="0E116BEA"/>
    <w:rsid w:val="0E3C49E6"/>
    <w:rsid w:val="0E46051D"/>
    <w:rsid w:val="0E4A5FF2"/>
    <w:rsid w:val="0E6A733E"/>
    <w:rsid w:val="0E6D01D5"/>
    <w:rsid w:val="0E6F71A6"/>
    <w:rsid w:val="0E707BD8"/>
    <w:rsid w:val="0E7E2314"/>
    <w:rsid w:val="0E82403E"/>
    <w:rsid w:val="0E8947BF"/>
    <w:rsid w:val="0E9F40E6"/>
    <w:rsid w:val="0EA67D74"/>
    <w:rsid w:val="0EAC1D79"/>
    <w:rsid w:val="0EAD7491"/>
    <w:rsid w:val="0EDC703A"/>
    <w:rsid w:val="0EF82DA2"/>
    <w:rsid w:val="0F021F7C"/>
    <w:rsid w:val="0F0E18EA"/>
    <w:rsid w:val="0F672DA8"/>
    <w:rsid w:val="0F767B9C"/>
    <w:rsid w:val="0F83184A"/>
    <w:rsid w:val="0F870FCA"/>
    <w:rsid w:val="0FC60E5D"/>
    <w:rsid w:val="0FD80924"/>
    <w:rsid w:val="0FDF3133"/>
    <w:rsid w:val="0FDF3BF3"/>
    <w:rsid w:val="0FEA55A5"/>
    <w:rsid w:val="10325513"/>
    <w:rsid w:val="10351C80"/>
    <w:rsid w:val="10381503"/>
    <w:rsid w:val="103D699F"/>
    <w:rsid w:val="1062192D"/>
    <w:rsid w:val="10774D4D"/>
    <w:rsid w:val="108D683E"/>
    <w:rsid w:val="10993435"/>
    <w:rsid w:val="10BB15FD"/>
    <w:rsid w:val="10D20102"/>
    <w:rsid w:val="10E675D1"/>
    <w:rsid w:val="10F845FF"/>
    <w:rsid w:val="10F92125"/>
    <w:rsid w:val="1115218D"/>
    <w:rsid w:val="112549B7"/>
    <w:rsid w:val="113D4B55"/>
    <w:rsid w:val="11641C30"/>
    <w:rsid w:val="11735D75"/>
    <w:rsid w:val="118E4B3C"/>
    <w:rsid w:val="11934328"/>
    <w:rsid w:val="119B4736"/>
    <w:rsid w:val="11A42091"/>
    <w:rsid w:val="11AB1672"/>
    <w:rsid w:val="11C41193"/>
    <w:rsid w:val="11C42733"/>
    <w:rsid w:val="11C6631E"/>
    <w:rsid w:val="11D83DCE"/>
    <w:rsid w:val="11E72E01"/>
    <w:rsid w:val="121E0DE3"/>
    <w:rsid w:val="121E634A"/>
    <w:rsid w:val="12476B53"/>
    <w:rsid w:val="124F46F3"/>
    <w:rsid w:val="125351D6"/>
    <w:rsid w:val="127B027A"/>
    <w:rsid w:val="127B0D39"/>
    <w:rsid w:val="127C4DBC"/>
    <w:rsid w:val="1285150C"/>
    <w:rsid w:val="12B83838"/>
    <w:rsid w:val="12D401F1"/>
    <w:rsid w:val="13561D65"/>
    <w:rsid w:val="136D2D4F"/>
    <w:rsid w:val="138167BA"/>
    <w:rsid w:val="139E2E9A"/>
    <w:rsid w:val="13AF4D1D"/>
    <w:rsid w:val="13B017B9"/>
    <w:rsid w:val="13B67237"/>
    <w:rsid w:val="13C07878"/>
    <w:rsid w:val="13C133CE"/>
    <w:rsid w:val="14045069"/>
    <w:rsid w:val="140C5DFC"/>
    <w:rsid w:val="140E5EE8"/>
    <w:rsid w:val="141F6347"/>
    <w:rsid w:val="14545985"/>
    <w:rsid w:val="1461478B"/>
    <w:rsid w:val="147725CA"/>
    <w:rsid w:val="1478565D"/>
    <w:rsid w:val="14821D1C"/>
    <w:rsid w:val="14A55734"/>
    <w:rsid w:val="14DB5C08"/>
    <w:rsid w:val="14E0178F"/>
    <w:rsid w:val="15000BA8"/>
    <w:rsid w:val="15082937"/>
    <w:rsid w:val="15361797"/>
    <w:rsid w:val="15401EB1"/>
    <w:rsid w:val="15651385"/>
    <w:rsid w:val="156839A2"/>
    <w:rsid w:val="15704DEE"/>
    <w:rsid w:val="158C1390"/>
    <w:rsid w:val="158E78DE"/>
    <w:rsid w:val="159D3BF0"/>
    <w:rsid w:val="15A25A36"/>
    <w:rsid w:val="15C03D42"/>
    <w:rsid w:val="15C1206E"/>
    <w:rsid w:val="15C54914"/>
    <w:rsid w:val="15D4540B"/>
    <w:rsid w:val="15F17B76"/>
    <w:rsid w:val="160F1E0E"/>
    <w:rsid w:val="1617490E"/>
    <w:rsid w:val="162E2871"/>
    <w:rsid w:val="164D5520"/>
    <w:rsid w:val="16555CD5"/>
    <w:rsid w:val="167209B0"/>
    <w:rsid w:val="168603B4"/>
    <w:rsid w:val="168C1346"/>
    <w:rsid w:val="168D7598"/>
    <w:rsid w:val="16BB3AB9"/>
    <w:rsid w:val="16D10DAA"/>
    <w:rsid w:val="16E4162C"/>
    <w:rsid w:val="16EF3DAF"/>
    <w:rsid w:val="16FD016C"/>
    <w:rsid w:val="17246E82"/>
    <w:rsid w:val="175E459A"/>
    <w:rsid w:val="17634A13"/>
    <w:rsid w:val="176B75F2"/>
    <w:rsid w:val="176E5000"/>
    <w:rsid w:val="17852E5F"/>
    <w:rsid w:val="178842BB"/>
    <w:rsid w:val="17931CD5"/>
    <w:rsid w:val="17B429B6"/>
    <w:rsid w:val="17D03492"/>
    <w:rsid w:val="17E13B68"/>
    <w:rsid w:val="17E51E47"/>
    <w:rsid w:val="17EC1B01"/>
    <w:rsid w:val="182A0E16"/>
    <w:rsid w:val="182C1E9F"/>
    <w:rsid w:val="18485849"/>
    <w:rsid w:val="184C3483"/>
    <w:rsid w:val="184C5231"/>
    <w:rsid w:val="185540E5"/>
    <w:rsid w:val="188B7B07"/>
    <w:rsid w:val="189E3CDE"/>
    <w:rsid w:val="18ED39C9"/>
    <w:rsid w:val="18F7519C"/>
    <w:rsid w:val="191A7623"/>
    <w:rsid w:val="193C34F7"/>
    <w:rsid w:val="195B397D"/>
    <w:rsid w:val="19670C9C"/>
    <w:rsid w:val="19754ECF"/>
    <w:rsid w:val="19947044"/>
    <w:rsid w:val="19C808E7"/>
    <w:rsid w:val="19F422B4"/>
    <w:rsid w:val="19F72E3C"/>
    <w:rsid w:val="1A161863"/>
    <w:rsid w:val="1A472132"/>
    <w:rsid w:val="1A734CF7"/>
    <w:rsid w:val="1A7E4795"/>
    <w:rsid w:val="1A9F789A"/>
    <w:rsid w:val="1AA918D7"/>
    <w:rsid w:val="1ACB41A7"/>
    <w:rsid w:val="1ACB5A31"/>
    <w:rsid w:val="1B0313DD"/>
    <w:rsid w:val="1B356450"/>
    <w:rsid w:val="1B3B1CB8"/>
    <w:rsid w:val="1B8679FB"/>
    <w:rsid w:val="1B8D61F9"/>
    <w:rsid w:val="1BAC69BC"/>
    <w:rsid w:val="1BCA14DE"/>
    <w:rsid w:val="1BD06066"/>
    <w:rsid w:val="1BEF4925"/>
    <w:rsid w:val="1C05253D"/>
    <w:rsid w:val="1C231421"/>
    <w:rsid w:val="1C262DE1"/>
    <w:rsid w:val="1C327779"/>
    <w:rsid w:val="1C424966"/>
    <w:rsid w:val="1C4C5F65"/>
    <w:rsid w:val="1C760ACE"/>
    <w:rsid w:val="1CAC0810"/>
    <w:rsid w:val="1CB90005"/>
    <w:rsid w:val="1CC164AB"/>
    <w:rsid w:val="1CD3261D"/>
    <w:rsid w:val="1CD32B2B"/>
    <w:rsid w:val="1CE428DF"/>
    <w:rsid w:val="1CE74801"/>
    <w:rsid w:val="1CE974F2"/>
    <w:rsid w:val="1CF00C1C"/>
    <w:rsid w:val="1D0858DB"/>
    <w:rsid w:val="1D1E6A0C"/>
    <w:rsid w:val="1D350989"/>
    <w:rsid w:val="1D470247"/>
    <w:rsid w:val="1D480320"/>
    <w:rsid w:val="1D4D5914"/>
    <w:rsid w:val="1D5F5A06"/>
    <w:rsid w:val="1D637ED4"/>
    <w:rsid w:val="1D884E79"/>
    <w:rsid w:val="1D8B15A5"/>
    <w:rsid w:val="1D9E017F"/>
    <w:rsid w:val="1DCF7F90"/>
    <w:rsid w:val="1DD45B8B"/>
    <w:rsid w:val="1DDB67AB"/>
    <w:rsid w:val="1DDF4451"/>
    <w:rsid w:val="1DE8493B"/>
    <w:rsid w:val="1DE9704B"/>
    <w:rsid w:val="1DF07DEF"/>
    <w:rsid w:val="1E0839A8"/>
    <w:rsid w:val="1E0E450A"/>
    <w:rsid w:val="1E1024E0"/>
    <w:rsid w:val="1E1660C5"/>
    <w:rsid w:val="1E1862E1"/>
    <w:rsid w:val="1E3106BB"/>
    <w:rsid w:val="1E3C52DB"/>
    <w:rsid w:val="1E502353"/>
    <w:rsid w:val="1E5471EE"/>
    <w:rsid w:val="1E586D2C"/>
    <w:rsid w:val="1E7532F1"/>
    <w:rsid w:val="1E7D4409"/>
    <w:rsid w:val="1E9811D0"/>
    <w:rsid w:val="1E986DF6"/>
    <w:rsid w:val="1E993612"/>
    <w:rsid w:val="1EA30F1D"/>
    <w:rsid w:val="1EAF2075"/>
    <w:rsid w:val="1ECC2C27"/>
    <w:rsid w:val="1EFB092D"/>
    <w:rsid w:val="1F037161"/>
    <w:rsid w:val="1F077720"/>
    <w:rsid w:val="1F0A3F2F"/>
    <w:rsid w:val="1F1E3D36"/>
    <w:rsid w:val="1F26601C"/>
    <w:rsid w:val="1F615A66"/>
    <w:rsid w:val="1F7D1A45"/>
    <w:rsid w:val="1F850B59"/>
    <w:rsid w:val="1F865AC7"/>
    <w:rsid w:val="1F8D52F7"/>
    <w:rsid w:val="1F972804"/>
    <w:rsid w:val="1F99704A"/>
    <w:rsid w:val="1F9A0F77"/>
    <w:rsid w:val="1FA13035"/>
    <w:rsid w:val="1FA84BF4"/>
    <w:rsid w:val="1FBB4CE4"/>
    <w:rsid w:val="201516A5"/>
    <w:rsid w:val="2024260E"/>
    <w:rsid w:val="20436F19"/>
    <w:rsid w:val="20593D7A"/>
    <w:rsid w:val="207A37B7"/>
    <w:rsid w:val="208D2230"/>
    <w:rsid w:val="20A96406"/>
    <w:rsid w:val="20C672AE"/>
    <w:rsid w:val="20D539F6"/>
    <w:rsid w:val="20E62194"/>
    <w:rsid w:val="2102791E"/>
    <w:rsid w:val="210A4AD1"/>
    <w:rsid w:val="211F1A47"/>
    <w:rsid w:val="21337718"/>
    <w:rsid w:val="217557F8"/>
    <w:rsid w:val="219012B5"/>
    <w:rsid w:val="21A15954"/>
    <w:rsid w:val="21A36FE4"/>
    <w:rsid w:val="21BA145D"/>
    <w:rsid w:val="21BB61EB"/>
    <w:rsid w:val="21C30312"/>
    <w:rsid w:val="21DC7625"/>
    <w:rsid w:val="21E156B9"/>
    <w:rsid w:val="21EB423C"/>
    <w:rsid w:val="21F053C9"/>
    <w:rsid w:val="21F54DAB"/>
    <w:rsid w:val="221F7512"/>
    <w:rsid w:val="224A458F"/>
    <w:rsid w:val="224B1C99"/>
    <w:rsid w:val="22521696"/>
    <w:rsid w:val="22707831"/>
    <w:rsid w:val="227C57D6"/>
    <w:rsid w:val="229D1692"/>
    <w:rsid w:val="22A15FAD"/>
    <w:rsid w:val="22B660C8"/>
    <w:rsid w:val="22B8231B"/>
    <w:rsid w:val="22B91715"/>
    <w:rsid w:val="22CA6B53"/>
    <w:rsid w:val="230505A1"/>
    <w:rsid w:val="23051B39"/>
    <w:rsid w:val="230C7A96"/>
    <w:rsid w:val="23215C4E"/>
    <w:rsid w:val="234A1947"/>
    <w:rsid w:val="234A665A"/>
    <w:rsid w:val="23574571"/>
    <w:rsid w:val="236E1CE9"/>
    <w:rsid w:val="237A2F64"/>
    <w:rsid w:val="23A906E2"/>
    <w:rsid w:val="23B420BD"/>
    <w:rsid w:val="23C42824"/>
    <w:rsid w:val="23E84E71"/>
    <w:rsid w:val="23F14894"/>
    <w:rsid w:val="23F8708E"/>
    <w:rsid w:val="241A2687"/>
    <w:rsid w:val="24351479"/>
    <w:rsid w:val="244202DE"/>
    <w:rsid w:val="24497DD4"/>
    <w:rsid w:val="24601A44"/>
    <w:rsid w:val="24DA69C7"/>
    <w:rsid w:val="24EC7B7F"/>
    <w:rsid w:val="24F118FF"/>
    <w:rsid w:val="25001CDE"/>
    <w:rsid w:val="250749B9"/>
    <w:rsid w:val="25137431"/>
    <w:rsid w:val="25207134"/>
    <w:rsid w:val="25284930"/>
    <w:rsid w:val="252B4438"/>
    <w:rsid w:val="253C51A5"/>
    <w:rsid w:val="25461985"/>
    <w:rsid w:val="255B270A"/>
    <w:rsid w:val="256169E0"/>
    <w:rsid w:val="2576534F"/>
    <w:rsid w:val="25781413"/>
    <w:rsid w:val="258B383C"/>
    <w:rsid w:val="25AD7E99"/>
    <w:rsid w:val="25B60C44"/>
    <w:rsid w:val="25C01168"/>
    <w:rsid w:val="25C1100C"/>
    <w:rsid w:val="25D37687"/>
    <w:rsid w:val="25E55EA9"/>
    <w:rsid w:val="25F12B47"/>
    <w:rsid w:val="25F46DF2"/>
    <w:rsid w:val="26103A9C"/>
    <w:rsid w:val="26273CE6"/>
    <w:rsid w:val="262D4952"/>
    <w:rsid w:val="263E601E"/>
    <w:rsid w:val="264826AC"/>
    <w:rsid w:val="264E003E"/>
    <w:rsid w:val="26531C07"/>
    <w:rsid w:val="265F42E9"/>
    <w:rsid w:val="265F75E8"/>
    <w:rsid w:val="26695200"/>
    <w:rsid w:val="267E549A"/>
    <w:rsid w:val="26897E41"/>
    <w:rsid w:val="26AD7FB0"/>
    <w:rsid w:val="26B4047C"/>
    <w:rsid w:val="26C02FC9"/>
    <w:rsid w:val="26C9445D"/>
    <w:rsid w:val="26DA43B8"/>
    <w:rsid w:val="26E74AA2"/>
    <w:rsid w:val="271007EF"/>
    <w:rsid w:val="272A0E33"/>
    <w:rsid w:val="2730304F"/>
    <w:rsid w:val="27444241"/>
    <w:rsid w:val="275635F6"/>
    <w:rsid w:val="27573720"/>
    <w:rsid w:val="27610827"/>
    <w:rsid w:val="27644345"/>
    <w:rsid w:val="27670678"/>
    <w:rsid w:val="277A3B68"/>
    <w:rsid w:val="277C4E0B"/>
    <w:rsid w:val="27816F78"/>
    <w:rsid w:val="27AD0247"/>
    <w:rsid w:val="27AE789D"/>
    <w:rsid w:val="27BA705F"/>
    <w:rsid w:val="27CE2E2F"/>
    <w:rsid w:val="27CF1CA7"/>
    <w:rsid w:val="27D15B65"/>
    <w:rsid w:val="27D82620"/>
    <w:rsid w:val="27FD20A3"/>
    <w:rsid w:val="28121D50"/>
    <w:rsid w:val="281F4230"/>
    <w:rsid w:val="285D6901"/>
    <w:rsid w:val="28786B74"/>
    <w:rsid w:val="287F0D0A"/>
    <w:rsid w:val="288023CD"/>
    <w:rsid w:val="288051AE"/>
    <w:rsid w:val="28810F26"/>
    <w:rsid w:val="289668FF"/>
    <w:rsid w:val="289B7657"/>
    <w:rsid w:val="28A36949"/>
    <w:rsid w:val="28B2089B"/>
    <w:rsid w:val="28B27007"/>
    <w:rsid w:val="28D42E04"/>
    <w:rsid w:val="28E21E22"/>
    <w:rsid w:val="28EC73FD"/>
    <w:rsid w:val="28EF6F17"/>
    <w:rsid w:val="290C1778"/>
    <w:rsid w:val="291724A9"/>
    <w:rsid w:val="292A0BCC"/>
    <w:rsid w:val="29562B5F"/>
    <w:rsid w:val="29660122"/>
    <w:rsid w:val="296C62DA"/>
    <w:rsid w:val="296F5CDB"/>
    <w:rsid w:val="297312AC"/>
    <w:rsid w:val="29747494"/>
    <w:rsid w:val="297A148E"/>
    <w:rsid w:val="297E5EFB"/>
    <w:rsid w:val="29834F41"/>
    <w:rsid w:val="29853990"/>
    <w:rsid w:val="29B81395"/>
    <w:rsid w:val="29FF78D5"/>
    <w:rsid w:val="2A1D0900"/>
    <w:rsid w:val="2A273408"/>
    <w:rsid w:val="2A3F3258"/>
    <w:rsid w:val="2A446AAD"/>
    <w:rsid w:val="2A5759FC"/>
    <w:rsid w:val="2A771CD8"/>
    <w:rsid w:val="2A7B0F81"/>
    <w:rsid w:val="2A880BBE"/>
    <w:rsid w:val="2A901BBF"/>
    <w:rsid w:val="2A906E7A"/>
    <w:rsid w:val="2AAF6B97"/>
    <w:rsid w:val="2AEA4748"/>
    <w:rsid w:val="2AF228E9"/>
    <w:rsid w:val="2B0C72C6"/>
    <w:rsid w:val="2B0F10E7"/>
    <w:rsid w:val="2B3E5698"/>
    <w:rsid w:val="2B5B6C31"/>
    <w:rsid w:val="2B6A3EF4"/>
    <w:rsid w:val="2BE27F2E"/>
    <w:rsid w:val="2BF10A22"/>
    <w:rsid w:val="2BF8037A"/>
    <w:rsid w:val="2C02237E"/>
    <w:rsid w:val="2C054E83"/>
    <w:rsid w:val="2C422884"/>
    <w:rsid w:val="2C536736"/>
    <w:rsid w:val="2C8C1FE2"/>
    <w:rsid w:val="2C970319"/>
    <w:rsid w:val="2C9746C6"/>
    <w:rsid w:val="2CA36EA1"/>
    <w:rsid w:val="2CAF1095"/>
    <w:rsid w:val="2CCF1143"/>
    <w:rsid w:val="2CDA7534"/>
    <w:rsid w:val="2CDF326F"/>
    <w:rsid w:val="2CE21393"/>
    <w:rsid w:val="2CF27769"/>
    <w:rsid w:val="2CFC5020"/>
    <w:rsid w:val="2CFE0D61"/>
    <w:rsid w:val="2D1A7254"/>
    <w:rsid w:val="2D2D611B"/>
    <w:rsid w:val="2D2D738C"/>
    <w:rsid w:val="2D2E71EA"/>
    <w:rsid w:val="2D327988"/>
    <w:rsid w:val="2D596254"/>
    <w:rsid w:val="2D720B88"/>
    <w:rsid w:val="2D800228"/>
    <w:rsid w:val="2D957130"/>
    <w:rsid w:val="2DA01486"/>
    <w:rsid w:val="2DA20D27"/>
    <w:rsid w:val="2DAA375A"/>
    <w:rsid w:val="2DB43204"/>
    <w:rsid w:val="2DB47E13"/>
    <w:rsid w:val="2DCE23DB"/>
    <w:rsid w:val="2DD11064"/>
    <w:rsid w:val="2DFC404C"/>
    <w:rsid w:val="2E0D03ED"/>
    <w:rsid w:val="2E1952A2"/>
    <w:rsid w:val="2E371675"/>
    <w:rsid w:val="2E3B61D0"/>
    <w:rsid w:val="2E3C1BBC"/>
    <w:rsid w:val="2E4A36A5"/>
    <w:rsid w:val="2E5008BE"/>
    <w:rsid w:val="2E5D4220"/>
    <w:rsid w:val="2E5E2C4E"/>
    <w:rsid w:val="2E6932C2"/>
    <w:rsid w:val="2E780AD8"/>
    <w:rsid w:val="2E963A3B"/>
    <w:rsid w:val="2E9F5815"/>
    <w:rsid w:val="2EA239C3"/>
    <w:rsid w:val="2EB2173C"/>
    <w:rsid w:val="2EBD433B"/>
    <w:rsid w:val="2EC77A75"/>
    <w:rsid w:val="2ECC611B"/>
    <w:rsid w:val="2ED77149"/>
    <w:rsid w:val="2EDC6BC3"/>
    <w:rsid w:val="2F0673AD"/>
    <w:rsid w:val="2F184818"/>
    <w:rsid w:val="2F1F6DA3"/>
    <w:rsid w:val="2F394965"/>
    <w:rsid w:val="2F544078"/>
    <w:rsid w:val="2F573114"/>
    <w:rsid w:val="2F583401"/>
    <w:rsid w:val="2F7964B4"/>
    <w:rsid w:val="2FB84052"/>
    <w:rsid w:val="2FC93D24"/>
    <w:rsid w:val="2FCC2A87"/>
    <w:rsid w:val="2FE853E7"/>
    <w:rsid w:val="2FF42F0C"/>
    <w:rsid w:val="3001548D"/>
    <w:rsid w:val="301436BC"/>
    <w:rsid w:val="301A5EE8"/>
    <w:rsid w:val="301D32E3"/>
    <w:rsid w:val="302E7891"/>
    <w:rsid w:val="304806E3"/>
    <w:rsid w:val="30540890"/>
    <w:rsid w:val="3082583C"/>
    <w:rsid w:val="30856178"/>
    <w:rsid w:val="30BD1F4D"/>
    <w:rsid w:val="30CD5E8E"/>
    <w:rsid w:val="30E47959"/>
    <w:rsid w:val="30EC51B1"/>
    <w:rsid w:val="30ED7B1A"/>
    <w:rsid w:val="31085740"/>
    <w:rsid w:val="311B22C8"/>
    <w:rsid w:val="31411DB0"/>
    <w:rsid w:val="317963F2"/>
    <w:rsid w:val="31936556"/>
    <w:rsid w:val="31A71D85"/>
    <w:rsid w:val="31AB491E"/>
    <w:rsid w:val="31C220DB"/>
    <w:rsid w:val="31C7193C"/>
    <w:rsid w:val="31C74D29"/>
    <w:rsid w:val="31C75BFC"/>
    <w:rsid w:val="31C954BC"/>
    <w:rsid w:val="31DF177F"/>
    <w:rsid w:val="31E0281A"/>
    <w:rsid w:val="321B38AD"/>
    <w:rsid w:val="322736CB"/>
    <w:rsid w:val="32333362"/>
    <w:rsid w:val="327104F7"/>
    <w:rsid w:val="32853B44"/>
    <w:rsid w:val="32A13C53"/>
    <w:rsid w:val="32A43486"/>
    <w:rsid w:val="32CF3B2E"/>
    <w:rsid w:val="32D103B5"/>
    <w:rsid w:val="32E16C6F"/>
    <w:rsid w:val="32E758EB"/>
    <w:rsid w:val="33224A25"/>
    <w:rsid w:val="332410E3"/>
    <w:rsid w:val="332D7B7E"/>
    <w:rsid w:val="33377F61"/>
    <w:rsid w:val="33480A9F"/>
    <w:rsid w:val="335C2374"/>
    <w:rsid w:val="33826C23"/>
    <w:rsid w:val="339033BF"/>
    <w:rsid w:val="33922361"/>
    <w:rsid w:val="33AF4427"/>
    <w:rsid w:val="33C515AD"/>
    <w:rsid w:val="340A3924"/>
    <w:rsid w:val="340A7CF4"/>
    <w:rsid w:val="342174AA"/>
    <w:rsid w:val="34303B18"/>
    <w:rsid w:val="34364943"/>
    <w:rsid w:val="34446177"/>
    <w:rsid w:val="34450253"/>
    <w:rsid w:val="34525525"/>
    <w:rsid w:val="348015EC"/>
    <w:rsid w:val="34DA79F4"/>
    <w:rsid w:val="34F5671A"/>
    <w:rsid w:val="352C5D76"/>
    <w:rsid w:val="3534616C"/>
    <w:rsid w:val="35553903"/>
    <w:rsid w:val="357E2A76"/>
    <w:rsid w:val="3583008C"/>
    <w:rsid w:val="358A6D2D"/>
    <w:rsid w:val="359606A2"/>
    <w:rsid w:val="35A617BD"/>
    <w:rsid w:val="35AC0880"/>
    <w:rsid w:val="35B535D9"/>
    <w:rsid w:val="35C0530F"/>
    <w:rsid w:val="35D06C8C"/>
    <w:rsid w:val="35E85214"/>
    <w:rsid w:val="35EB3E83"/>
    <w:rsid w:val="35FC01D3"/>
    <w:rsid w:val="360B2F38"/>
    <w:rsid w:val="360D204B"/>
    <w:rsid w:val="361C3007"/>
    <w:rsid w:val="363E2205"/>
    <w:rsid w:val="36405F1E"/>
    <w:rsid w:val="36494F72"/>
    <w:rsid w:val="3665422B"/>
    <w:rsid w:val="3678424D"/>
    <w:rsid w:val="3685055C"/>
    <w:rsid w:val="36867962"/>
    <w:rsid w:val="369446C0"/>
    <w:rsid w:val="36C06BEC"/>
    <w:rsid w:val="36F24B0E"/>
    <w:rsid w:val="37005215"/>
    <w:rsid w:val="37106E82"/>
    <w:rsid w:val="371D62BE"/>
    <w:rsid w:val="37235FC6"/>
    <w:rsid w:val="372376D8"/>
    <w:rsid w:val="3743601E"/>
    <w:rsid w:val="37725784"/>
    <w:rsid w:val="377F56E4"/>
    <w:rsid w:val="37907BFA"/>
    <w:rsid w:val="37BD6B73"/>
    <w:rsid w:val="37C8622A"/>
    <w:rsid w:val="37D03331"/>
    <w:rsid w:val="37DC6AA1"/>
    <w:rsid w:val="38111241"/>
    <w:rsid w:val="38225017"/>
    <w:rsid w:val="382731A2"/>
    <w:rsid w:val="38776499"/>
    <w:rsid w:val="388C012A"/>
    <w:rsid w:val="389B3134"/>
    <w:rsid w:val="38C4402F"/>
    <w:rsid w:val="38F94946"/>
    <w:rsid w:val="39035CCB"/>
    <w:rsid w:val="390A7954"/>
    <w:rsid w:val="3914549F"/>
    <w:rsid w:val="39303A7B"/>
    <w:rsid w:val="393618B9"/>
    <w:rsid w:val="395F2BBE"/>
    <w:rsid w:val="396436A7"/>
    <w:rsid w:val="397906DF"/>
    <w:rsid w:val="3981321F"/>
    <w:rsid w:val="398C3041"/>
    <w:rsid w:val="39A516E9"/>
    <w:rsid w:val="39BC591B"/>
    <w:rsid w:val="39CE53E6"/>
    <w:rsid w:val="39EC2DF2"/>
    <w:rsid w:val="39EF04A0"/>
    <w:rsid w:val="39F5670B"/>
    <w:rsid w:val="3A0472C2"/>
    <w:rsid w:val="3A157721"/>
    <w:rsid w:val="3A192D6D"/>
    <w:rsid w:val="3A41569E"/>
    <w:rsid w:val="3A706705"/>
    <w:rsid w:val="3A78307D"/>
    <w:rsid w:val="3A7C1014"/>
    <w:rsid w:val="3A7F0A22"/>
    <w:rsid w:val="3A846755"/>
    <w:rsid w:val="3A95616C"/>
    <w:rsid w:val="3AAA66ED"/>
    <w:rsid w:val="3AC324ED"/>
    <w:rsid w:val="3AD9074E"/>
    <w:rsid w:val="3AD924FC"/>
    <w:rsid w:val="3B3616FD"/>
    <w:rsid w:val="3B39619E"/>
    <w:rsid w:val="3B594DD8"/>
    <w:rsid w:val="3B64626A"/>
    <w:rsid w:val="3B9D5C20"/>
    <w:rsid w:val="3BAD79FF"/>
    <w:rsid w:val="3BB3308F"/>
    <w:rsid w:val="3BD376AD"/>
    <w:rsid w:val="3BFE66BE"/>
    <w:rsid w:val="3C00066C"/>
    <w:rsid w:val="3C0E61D6"/>
    <w:rsid w:val="3C111FA1"/>
    <w:rsid w:val="3C270174"/>
    <w:rsid w:val="3C3C7EA1"/>
    <w:rsid w:val="3C453D71"/>
    <w:rsid w:val="3C7E335B"/>
    <w:rsid w:val="3C806A62"/>
    <w:rsid w:val="3C922A41"/>
    <w:rsid w:val="3C9F12F1"/>
    <w:rsid w:val="3CD21D85"/>
    <w:rsid w:val="3CF404E4"/>
    <w:rsid w:val="3D1D63C5"/>
    <w:rsid w:val="3D5918AE"/>
    <w:rsid w:val="3D600362"/>
    <w:rsid w:val="3D995D92"/>
    <w:rsid w:val="3DA11D84"/>
    <w:rsid w:val="3DA94408"/>
    <w:rsid w:val="3DAA7E48"/>
    <w:rsid w:val="3DB37C3C"/>
    <w:rsid w:val="3DB64D77"/>
    <w:rsid w:val="3DC14C7A"/>
    <w:rsid w:val="3DC3734E"/>
    <w:rsid w:val="3DC9055D"/>
    <w:rsid w:val="3E0977AA"/>
    <w:rsid w:val="3E170A5D"/>
    <w:rsid w:val="3E494CAD"/>
    <w:rsid w:val="3E5E0787"/>
    <w:rsid w:val="3EA55977"/>
    <w:rsid w:val="3EB209EC"/>
    <w:rsid w:val="3EBD2920"/>
    <w:rsid w:val="3EBE2175"/>
    <w:rsid w:val="3ED82792"/>
    <w:rsid w:val="3EFA510D"/>
    <w:rsid w:val="3EFF67ED"/>
    <w:rsid w:val="3F0B7544"/>
    <w:rsid w:val="3F1E04E3"/>
    <w:rsid w:val="3F290AF4"/>
    <w:rsid w:val="3F2D4835"/>
    <w:rsid w:val="3F395C1F"/>
    <w:rsid w:val="3F6E7B73"/>
    <w:rsid w:val="3F731171"/>
    <w:rsid w:val="3F7E5ACC"/>
    <w:rsid w:val="3FB731D7"/>
    <w:rsid w:val="3FC739EA"/>
    <w:rsid w:val="3FD37E62"/>
    <w:rsid w:val="3FE45BCB"/>
    <w:rsid w:val="40076226"/>
    <w:rsid w:val="40154B29"/>
    <w:rsid w:val="40373E68"/>
    <w:rsid w:val="4081490E"/>
    <w:rsid w:val="40BC055D"/>
    <w:rsid w:val="40CA29B8"/>
    <w:rsid w:val="40D519B8"/>
    <w:rsid w:val="40D94B73"/>
    <w:rsid w:val="40DC5099"/>
    <w:rsid w:val="40DD1316"/>
    <w:rsid w:val="40DF4892"/>
    <w:rsid w:val="40F2155A"/>
    <w:rsid w:val="410B334C"/>
    <w:rsid w:val="41152C00"/>
    <w:rsid w:val="411F0281"/>
    <w:rsid w:val="41206BBC"/>
    <w:rsid w:val="41390199"/>
    <w:rsid w:val="413C6378"/>
    <w:rsid w:val="413E57AF"/>
    <w:rsid w:val="41635215"/>
    <w:rsid w:val="41A1107D"/>
    <w:rsid w:val="41E66107"/>
    <w:rsid w:val="420933DF"/>
    <w:rsid w:val="422F46F3"/>
    <w:rsid w:val="422F7C20"/>
    <w:rsid w:val="42470693"/>
    <w:rsid w:val="424A4FAC"/>
    <w:rsid w:val="424B7DEA"/>
    <w:rsid w:val="42600FED"/>
    <w:rsid w:val="427B1656"/>
    <w:rsid w:val="42812B99"/>
    <w:rsid w:val="42A26D16"/>
    <w:rsid w:val="42BB20B1"/>
    <w:rsid w:val="42D924E6"/>
    <w:rsid w:val="4306692E"/>
    <w:rsid w:val="43095949"/>
    <w:rsid w:val="43413D6C"/>
    <w:rsid w:val="43456F4A"/>
    <w:rsid w:val="434D77B9"/>
    <w:rsid w:val="435074A8"/>
    <w:rsid w:val="436117DB"/>
    <w:rsid w:val="437B4D5B"/>
    <w:rsid w:val="43972F10"/>
    <w:rsid w:val="43B753BD"/>
    <w:rsid w:val="43BA29DA"/>
    <w:rsid w:val="43D63A7D"/>
    <w:rsid w:val="43E42855"/>
    <w:rsid w:val="43EA4F97"/>
    <w:rsid w:val="4401430B"/>
    <w:rsid w:val="443D3AA7"/>
    <w:rsid w:val="443D58AA"/>
    <w:rsid w:val="4445069E"/>
    <w:rsid w:val="444F26E2"/>
    <w:rsid w:val="44621918"/>
    <w:rsid w:val="448160DE"/>
    <w:rsid w:val="44822069"/>
    <w:rsid w:val="448C6831"/>
    <w:rsid w:val="44972B79"/>
    <w:rsid w:val="449C170C"/>
    <w:rsid w:val="44B1337F"/>
    <w:rsid w:val="44B44617"/>
    <w:rsid w:val="44C27940"/>
    <w:rsid w:val="44D8733E"/>
    <w:rsid w:val="44DC46DF"/>
    <w:rsid w:val="44F03E21"/>
    <w:rsid w:val="44FB7C21"/>
    <w:rsid w:val="44FD6C65"/>
    <w:rsid w:val="44FF7003"/>
    <w:rsid w:val="450837E7"/>
    <w:rsid w:val="450A60D4"/>
    <w:rsid w:val="450C6E88"/>
    <w:rsid w:val="452059D0"/>
    <w:rsid w:val="452B1BA6"/>
    <w:rsid w:val="452E4284"/>
    <w:rsid w:val="453F002E"/>
    <w:rsid w:val="45574AAC"/>
    <w:rsid w:val="456E7B2D"/>
    <w:rsid w:val="457C27F1"/>
    <w:rsid w:val="458E2709"/>
    <w:rsid w:val="45A858ED"/>
    <w:rsid w:val="45E53D24"/>
    <w:rsid w:val="45EC1E08"/>
    <w:rsid w:val="4623548B"/>
    <w:rsid w:val="46596E4D"/>
    <w:rsid w:val="46775778"/>
    <w:rsid w:val="468D27B6"/>
    <w:rsid w:val="468E0E29"/>
    <w:rsid w:val="46AB6FD6"/>
    <w:rsid w:val="46B5206F"/>
    <w:rsid w:val="46B95B54"/>
    <w:rsid w:val="46BE0CD6"/>
    <w:rsid w:val="46D854B8"/>
    <w:rsid w:val="46EC35B7"/>
    <w:rsid w:val="472C4396"/>
    <w:rsid w:val="47376700"/>
    <w:rsid w:val="47451645"/>
    <w:rsid w:val="47572953"/>
    <w:rsid w:val="475F022D"/>
    <w:rsid w:val="476517D1"/>
    <w:rsid w:val="47801105"/>
    <w:rsid w:val="4780628C"/>
    <w:rsid w:val="47855EE6"/>
    <w:rsid w:val="47AD066A"/>
    <w:rsid w:val="47B15BEA"/>
    <w:rsid w:val="47CA7D9C"/>
    <w:rsid w:val="47DE553C"/>
    <w:rsid w:val="47E27646"/>
    <w:rsid w:val="47E53543"/>
    <w:rsid w:val="47F44E19"/>
    <w:rsid w:val="47F53B1B"/>
    <w:rsid w:val="47FE15FE"/>
    <w:rsid w:val="48147F96"/>
    <w:rsid w:val="48177585"/>
    <w:rsid w:val="481847D6"/>
    <w:rsid w:val="48284AC3"/>
    <w:rsid w:val="48336EFA"/>
    <w:rsid w:val="485C6E51"/>
    <w:rsid w:val="48653A96"/>
    <w:rsid w:val="48696701"/>
    <w:rsid w:val="486A59AC"/>
    <w:rsid w:val="48764A90"/>
    <w:rsid w:val="48767960"/>
    <w:rsid w:val="48905707"/>
    <w:rsid w:val="48A24875"/>
    <w:rsid w:val="48B84DB9"/>
    <w:rsid w:val="48CE3EFF"/>
    <w:rsid w:val="48D07E06"/>
    <w:rsid w:val="48D569F9"/>
    <w:rsid w:val="48DA1030"/>
    <w:rsid w:val="48F75425"/>
    <w:rsid w:val="490A2D79"/>
    <w:rsid w:val="490B241B"/>
    <w:rsid w:val="49127D00"/>
    <w:rsid w:val="491A265E"/>
    <w:rsid w:val="49236A85"/>
    <w:rsid w:val="495646F8"/>
    <w:rsid w:val="49583186"/>
    <w:rsid w:val="495851E9"/>
    <w:rsid w:val="497079F2"/>
    <w:rsid w:val="498265D4"/>
    <w:rsid w:val="499866CD"/>
    <w:rsid w:val="499A554C"/>
    <w:rsid w:val="49AE225F"/>
    <w:rsid w:val="49D4372C"/>
    <w:rsid w:val="49FF4D1E"/>
    <w:rsid w:val="4A201DA7"/>
    <w:rsid w:val="4A421E6C"/>
    <w:rsid w:val="4A4644D2"/>
    <w:rsid w:val="4A4F4589"/>
    <w:rsid w:val="4A5B3007"/>
    <w:rsid w:val="4A7D10F6"/>
    <w:rsid w:val="4A8204BA"/>
    <w:rsid w:val="4A895CED"/>
    <w:rsid w:val="4A8C1339"/>
    <w:rsid w:val="4AB02A80"/>
    <w:rsid w:val="4ACE64F6"/>
    <w:rsid w:val="4AE937C8"/>
    <w:rsid w:val="4AF47E94"/>
    <w:rsid w:val="4AF67A68"/>
    <w:rsid w:val="4B0D06CC"/>
    <w:rsid w:val="4B240EBA"/>
    <w:rsid w:val="4B2B3867"/>
    <w:rsid w:val="4B307148"/>
    <w:rsid w:val="4B372A31"/>
    <w:rsid w:val="4B3D6AD7"/>
    <w:rsid w:val="4B58121B"/>
    <w:rsid w:val="4B63653E"/>
    <w:rsid w:val="4B656BA9"/>
    <w:rsid w:val="4B6D116B"/>
    <w:rsid w:val="4B98323C"/>
    <w:rsid w:val="4BAA3C4F"/>
    <w:rsid w:val="4BC774C7"/>
    <w:rsid w:val="4BD05255"/>
    <w:rsid w:val="4BE31A35"/>
    <w:rsid w:val="4BE731EE"/>
    <w:rsid w:val="4C115CC7"/>
    <w:rsid w:val="4C3430E4"/>
    <w:rsid w:val="4C520360"/>
    <w:rsid w:val="4C5C5FE1"/>
    <w:rsid w:val="4C7F45A1"/>
    <w:rsid w:val="4C8E14F5"/>
    <w:rsid w:val="4C942727"/>
    <w:rsid w:val="4CD56631"/>
    <w:rsid w:val="4CDC02E4"/>
    <w:rsid w:val="4D0A0B42"/>
    <w:rsid w:val="4D0A6FEA"/>
    <w:rsid w:val="4D0C1193"/>
    <w:rsid w:val="4D0D3112"/>
    <w:rsid w:val="4D1B2FCD"/>
    <w:rsid w:val="4D1F09C9"/>
    <w:rsid w:val="4D26332D"/>
    <w:rsid w:val="4D2B55C7"/>
    <w:rsid w:val="4D4144B0"/>
    <w:rsid w:val="4D42356E"/>
    <w:rsid w:val="4D430692"/>
    <w:rsid w:val="4D551EB6"/>
    <w:rsid w:val="4D592328"/>
    <w:rsid w:val="4D7863A6"/>
    <w:rsid w:val="4D794927"/>
    <w:rsid w:val="4D8019B3"/>
    <w:rsid w:val="4D841671"/>
    <w:rsid w:val="4D9354A9"/>
    <w:rsid w:val="4D9549A9"/>
    <w:rsid w:val="4D9A778E"/>
    <w:rsid w:val="4DAF15B9"/>
    <w:rsid w:val="4DE539EB"/>
    <w:rsid w:val="4E2D2168"/>
    <w:rsid w:val="4E2D2E33"/>
    <w:rsid w:val="4E555A61"/>
    <w:rsid w:val="4E622FA1"/>
    <w:rsid w:val="4E65437B"/>
    <w:rsid w:val="4E6A1991"/>
    <w:rsid w:val="4E6B1B02"/>
    <w:rsid w:val="4E7C3473"/>
    <w:rsid w:val="4E8F4436"/>
    <w:rsid w:val="4EAC45EC"/>
    <w:rsid w:val="4F0B7EB2"/>
    <w:rsid w:val="4F1162B1"/>
    <w:rsid w:val="4F304989"/>
    <w:rsid w:val="4F434270"/>
    <w:rsid w:val="4F585C8E"/>
    <w:rsid w:val="4F664A23"/>
    <w:rsid w:val="4F677CC4"/>
    <w:rsid w:val="4F7277CD"/>
    <w:rsid w:val="4F7D1F91"/>
    <w:rsid w:val="4F836A53"/>
    <w:rsid w:val="4FA65C1F"/>
    <w:rsid w:val="4FBA3A68"/>
    <w:rsid w:val="4FD032D6"/>
    <w:rsid w:val="4FD4141A"/>
    <w:rsid w:val="4FE043BB"/>
    <w:rsid w:val="4FE45338"/>
    <w:rsid w:val="50067073"/>
    <w:rsid w:val="50205733"/>
    <w:rsid w:val="50213B80"/>
    <w:rsid w:val="50416722"/>
    <w:rsid w:val="504E2CF9"/>
    <w:rsid w:val="508771AD"/>
    <w:rsid w:val="508C7AD3"/>
    <w:rsid w:val="50ED0815"/>
    <w:rsid w:val="50F03779"/>
    <w:rsid w:val="510253E2"/>
    <w:rsid w:val="51312C3A"/>
    <w:rsid w:val="513558D1"/>
    <w:rsid w:val="513D3400"/>
    <w:rsid w:val="515A4EBF"/>
    <w:rsid w:val="515D2714"/>
    <w:rsid w:val="51862014"/>
    <w:rsid w:val="518E1E3B"/>
    <w:rsid w:val="5198418A"/>
    <w:rsid w:val="51AA0C62"/>
    <w:rsid w:val="51CB185E"/>
    <w:rsid w:val="51F60120"/>
    <w:rsid w:val="51FB29FA"/>
    <w:rsid w:val="52065DA2"/>
    <w:rsid w:val="520B14C8"/>
    <w:rsid w:val="52385A38"/>
    <w:rsid w:val="523B7348"/>
    <w:rsid w:val="525A7F6F"/>
    <w:rsid w:val="52642870"/>
    <w:rsid w:val="52705D75"/>
    <w:rsid w:val="528D5C4E"/>
    <w:rsid w:val="52A772D3"/>
    <w:rsid w:val="52B363CB"/>
    <w:rsid w:val="52B97271"/>
    <w:rsid w:val="52C06024"/>
    <w:rsid w:val="52DB1E66"/>
    <w:rsid w:val="52EC4EC6"/>
    <w:rsid w:val="52EE0DED"/>
    <w:rsid w:val="5328631A"/>
    <w:rsid w:val="53455B6B"/>
    <w:rsid w:val="53514ECE"/>
    <w:rsid w:val="53767409"/>
    <w:rsid w:val="53785DDB"/>
    <w:rsid w:val="53894668"/>
    <w:rsid w:val="53911F31"/>
    <w:rsid w:val="539C630A"/>
    <w:rsid w:val="539E5A74"/>
    <w:rsid w:val="53A3372D"/>
    <w:rsid w:val="53A44BEF"/>
    <w:rsid w:val="53AD3B20"/>
    <w:rsid w:val="53BD0CCD"/>
    <w:rsid w:val="53C27350"/>
    <w:rsid w:val="53D903F2"/>
    <w:rsid w:val="53DB124B"/>
    <w:rsid w:val="53EF6556"/>
    <w:rsid w:val="53F046E7"/>
    <w:rsid w:val="53FF6A44"/>
    <w:rsid w:val="541505F1"/>
    <w:rsid w:val="542A1F78"/>
    <w:rsid w:val="542D7E04"/>
    <w:rsid w:val="545C4D54"/>
    <w:rsid w:val="548D0188"/>
    <w:rsid w:val="54B74458"/>
    <w:rsid w:val="54B87593"/>
    <w:rsid w:val="54CF254E"/>
    <w:rsid w:val="54CF6644"/>
    <w:rsid w:val="54D16059"/>
    <w:rsid w:val="5503323B"/>
    <w:rsid w:val="551425FF"/>
    <w:rsid w:val="551E4A01"/>
    <w:rsid w:val="555B6B00"/>
    <w:rsid w:val="555B7490"/>
    <w:rsid w:val="55621614"/>
    <w:rsid w:val="5563713A"/>
    <w:rsid w:val="556E45B9"/>
    <w:rsid w:val="557305CA"/>
    <w:rsid w:val="5597176E"/>
    <w:rsid w:val="55972433"/>
    <w:rsid w:val="559D1EB4"/>
    <w:rsid w:val="55A45491"/>
    <w:rsid w:val="55BD684B"/>
    <w:rsid w:val="55CF47D0"/>
    <w:rsid w:val="55F97918"/>
    <w:rsid w:val="560A3631"/>
    <w:rsid w:val="563548EA"/>
    <w:rsid w:val="563A7E9B"/>
    <w:rsid w:val="56687FE0"/>
    <w:rsid w:val="56843866"/>
    <w:rsid w:val="56890E23"/>
    <w:rsid w:val="569B462B"/>
    <w:rsid w:val="56BD0981"/>
    <w:rsid w:val="56F278A2"/>
    <w:rsid w:val="56F50547"/>
    <w:rsid w:val="56F744FD"/>
    <w:rsid w:val="571C1C97"/>
    <w:rsid w:val="574D6154"/>
    <w:rsid w:val="57521214"/>
    <w:rsid w:val="575C6E77"/>
    <w:rsid w:val="576174FE"/>
    <w:rsid w:val="57684EDC"/>
    <w:rsid w:val="57720EA1"/>
    <w:rsid w:val="577A64CE"/>
    <w:rsid w:val="57B635A1"/>
    <w:rsid w:val="57BD5228"/>
    <w:rsid w:val="57E606FA"/>
    <w:rsid w:val="580263B8"/>
    <w:rsid w:val="5817756E"/>
    <w:rsid w:val="58483E5C"/>
    <w:rsid w:val="58516D67"/>
    <w:rsid w:val="587C2278"/>
    <w:rsid w:val="588A62B4"/>
    <w:rsid w:val="58A55BA2"/>
    <w:rsid w:val="58A942BD"/>
    <w:rsid w:val="58D510B8"/>
    <w:rsid w:val="59327CFE"/>
    <w:rsid w:val="59515A0B"/>
    <w:rsid w:val="59646314"/>
    <w:rsid w:val="596C2A61"/>
    <w:rsid w:val="59730734"/>
    <w:rsid w:val="5974285F"/>
    <w:rsid w:val="59991EA2"/>
    <w:rsid w:val="59AE49DF"/>
    <w:rsid w:val="59B37FC3"/>
    <w:rsid w:val="59BD2D22"/>
    <w:rsid w:val="59CD7278"/>
    <w:rsid w:val="59E10D91"/>
    <w:rsid w:val="5A041B1D"/>
    <w:rsid w:val="5A2E662D"/>
    <w:rsid w:val="5A380B96"/>
    <w:rsid w:val="5A496112"/>
    <w:rsid w:val="5A7226BF"/>
    <w:rsid w:val="5A9A1FAE"/>
    <w:rsid w:val="5AAB580B"/>
    <w:rsid w:val="5AB3646E"/>
    <w:rsid w:val="5AC83077"/>
    <w:rsid w:val="5ACE6E5E"/>
    <w:rsid w:val="5ACF438B"/>
    <w:rsid w:val="5AD247C6"/>
    <w:rsid w:val="5B215ACE"/>
    <w:rsid w:val="5B2D4827"/>
    <w:rsid w:val="5B412C47"/>
    <w:rsid w:val="5B441F1B"/>
    <w:rsid w:val="5BA14AB6"/>
    <w:rsid w:val="5BA8647E"/>
    <w:rsid w:val="5BAA161F"/>
    <w:rsid w:val="5BB5017A"/>
    <w:rsid w:val="5BB9527C"/>
    <w:rsid w:val="5BFE50B2"/>
    <w:rsid w:val="5C02145B"/>
    <w:rsid w:val="5C0F37BB"/>
    <w:rsid w:val="5C115B42"/>
    <w:rsid w:val="5C320B33"/>
    <w:rsid w:val="5C377C3C"/>
    <w:rsid w:val="5C5D07F9"/>
    <w:rsid w:val="5C5F3A48"/>
    <w:rsid w:val="5C657C3C"/>
    <w:rsid w:val="5C714A5C"/>
    <w:rsid w:val="5C9A0810"/>
    <w:rsid w:val="5C9A1835"/>
    <w:rsid w:val="5C9D51D0"/>
    <w:rsid w:val="5CAE2F4F"/>
    <w:rsid w:val="5CB32FD2"/>
    <w:rsid w:val="5CBE7ED8"/>
    <w:rsid w:val="5CC04E72"/>
    <w:rsid w:val="5CC52489"/>
    <w:rsid w:val="5CFA3C20"/>
    <w:rsid w:val="5D2C7080"/>
    <w:rsid w:val="5D300EF9"/>
    <w:rsid w:val="5D370EB7"/>
    <w:rsid w:val="5D500B4B"/>
    <w:rsid w:val="5D981B79"/>
    <w:rsid w:val="5D9C143B"/>
    <w:rsid w:val="5DA6514B"/>
    <w:rsid w:val="5DAA3B58"/>
    <w:rsid w:val="5DCE7045"/>
    <w:rsid w:val="5DD44F9C"/>
    <w:rsid w:val="5E005736"/>
    <w:rsid w:val="5E0659AE"/>
    <w:rsid w:val="5E0660EB"/>
    <w:rsid w:val="5E1B024B"/>
    <w:rsid w:val="5E2A30DF"/>
    <w:rsid w:val="5E385608"/>
    <w:rsid w:val="5E432678"/>
    <w:rsid w:val="5E4D2855"/>
    <w:rsid w:val="5E5F0DE7"/>
    <w:rsid w:val="5E776303"/>
    <w:rsid w:val="5E7C2150"/>
    <w:rsid w:val="5EAF16CE"/>
    <w:rsid w:val="5EB368C0"/>
    <w:rsid w:val="5EC72965"/>
    <w:rsid w:val="5ECC545D"/>
    <w:rsid w:val="5EE5708A"/>
    <w:rsid w:val="5EE82A28"/>
    <w:rsid w:val="5EF35450"/>
    <w:rsid w:val="5F011E9E"/>
    <w:rsid w:val="5F2845C8"/>
    <w:rsid w:val="5F341B74"/>
    <w:rsid w:val="5F4F0E5B"/>
    <w:rsid w:val="5F605411"/>
    <w:rsid w:val="5F6334E9"/>
    <w:rsid w:val="5FA12495"/>
    <w:rsid w:val="5FB14180"/>
    <w:rsid w:val="5FD06055"/>
    <w:rsid w:val="5FEB2669"/>
    <w:rsid w:val="5FF93ED7"/>
    <w:rsid w:val="5FFB4F31"/>
    <w:rsid w:val="60082464"/>
    <w:rsid w:val="6009757B"/>
    <w:rsid w:val="60101AB8"/>
    <w:rsid w:val="603676AA"/>
    <w:rsid w:val="6042276E"/>
    <w:rsid w:val="60457B68"/>
    <w:rsid w:val="604E1113"/>
    <w:rsid w:val="605B62BA"/>
    <w:rsid w:val="607E4691"/>
    <w:rsid w:val="608F1E64"/>
    <w:rsid w:val="60A06EAD"/>
    <w:rsid w:val="60D21603"/>
    <w:rsid w:val="60DC7493"/>
    <w:rsid w:val="60F4333C"/>
    <w:rsid w:val="613A12AE"/>
    <w:rsid w:val="613D1187"/>
    <w:rsid w:val="61687564"/>
    <w:rsid w:val="616D5CB5"/>
    <w:rsid w:val="616E6FAC"/>
    <w:rsid w:val="61774A06"/>
    <w:rsid w:val="617A5F38"/>
    <w:rsid w:val="617D56A0"/>
    <w:rsid w:val="6182595A"/>
    <w:rsid w:val="61930DA7"/>
    <w:rsid w:val="61AB7E9F"/>
    <w:rsid w:val="61C50B67"/>
    <w:rsid w:val="61EA7FFD"/>
    <w:rsid w:val="61F1480D"/>
    <w:rsid w:val="61F43C25"/>
    <w:rsid w:val="61FA3CE0"/>
    <w:rsid w:val="61FA5336"/>
    <w:rsid w:val="62074C88"/>
    <w:rsid w:val="62165014"/>
    <w:rsid w:val="62240310"/>
    <w:rsid w:val="623F4633"/>
    <w:rsid w:val="624B5F11"/>
    <w:rsid w:val="62501513"/>
    <w:rsid w:val="627B6F04"/>
    <w:rsid w:val="62876C56"/>
    <w:rsid w:val="62AA7F40"/>
    <w:rsid w:val="62AF2CD2"/>
    <w:rsid w:val="62C86B14"/>
    <w:rsid w:val="62F11F24"/>
    <w:rsid w:val="62F360A5"/>
    <w:rsid w:val="62FA5B49"/>
    <w:rsid w:val="630006BE"/>
    <w:rsid w:val="63125EE0"/>
    <w:rsid w:val="632B7977"/>
    <w:rsid w:val="634F585D"/>
    <w:rsid w:val="635B558D"/>
    <w:rsid w:val="63656743"/>
    <w:rsid w:val="63921CC6"/>
    <w:rsid w:val="63B36998"/>
    <w:rsid w:val="63BC5355"/>
    <w:rsid w:val="63BE6238"/>
    <w:rsid w:val="64197C36"/>
    <w:rsid w:val="646D1553"/>
    <w:rsid w:val="64A54380"/>
    <w:rsid w:val="64AB7CB9"/>
    <w:rsid w:val="64B17EC2"/>
    <w:rsid w:val="64B268A0"/>
    <w:rsid w:val="64B66E59"/>
    <w:rsid w:val="64BB489D"/>
    <w:rsid w:val="64DE47EF"/>
    <w:rsid w:val="64E22BF1"/>
    <w:rsid w:val="64EA6203"/>
    <w:rsid w:val="64F13F4B"/>
    <w:rsid w:val="65055B18"/>
    <w:rsid w:val="651D10B4"/>
    <w:rsid w:val="652E6602"/>
    <w:rsid w:val="65444892"/>
    <w:rsid w:val="654F5B39"/>
    <w:rsid w:val="65654DFC"/>
    <w:rsid w:val="658A186E"/>
    <w:rsid w:val="659B43D9"/>
    <w:rsid w:val="65AC742E"/>
    <w:rsid w:val="65B25CA0"/>
    <w:rsid w:val="65C4036A"/>
    <w:rsid w:val="65C80CD7"/>
    <w:rsid w:val="65D11768"/>
    <w:rsid w:val="65D508D4"/>
    <w:rsid w:val="65D978CD"/>
    <w:rsid w:val="66003A6A"/>
    <w:rsid w:val="660C3CA0"/>
    <w:rsid w:val="66104B5D"/>
    <w:rsid w:val="662033CA"/>
    <w:rsid w:val="662E66D8"/>
    <w:rsid w:val="66306965"/>
    <w:rsid w:val="66385495"/>
    <w:rsid w:val="66756F03"/>
    <w:rsid w:val="6688324E"/>
    <w:rsid w:val="66A650D9"/>
    <w:rsid w:val="66CD5E28"/>
    <w:rsid w:val="66DB2FD4"/>
    <w:rsid w:val="66E16218"/>
    <w:rsid w:val="66EC0A88"/>
    <w:rsid w:val="66EC51E2"/>
    <w:rsid w:val="670818F0"/>
    <w:rsid w:val="67281F92"/>
    <w:rsid w:val="673A6F84"/>
    <w:rsid w:val="67462B03"/>
    <w:rsid w:val="674B6828"/>
    <w:rsid w:val="67540569"/>
    <w:rsid w:val="67695A94"/>
    <w:rsid w:val="677F6056"/>
    <w:rsid w:val="678008D4"/>
    <w:rsid w:val="6784575C"/>
    <w:rsid w:val="679015B4"/>
    <w:rsid w:val="679B2FED"/>
    <w:rsid w:val="67A94E81"/>
    <w:rsid w:val="67B177E8"/>
    <w:rsid w:val="67B37AAD"/>
    <w:rsid w:val="67CD365F"/>
    <w:rsid w:val="67F73E3E"/>
    <w:rsid w:val="67FF0F45"/>
    <w:rsid w:val="680958D3"/>
    <w:rsid w:val="682639C2"/>
    <w:rsid w:val="682B3AE8"/>
    <w:rsid w:val="6838366E"/>
    <w:rsid w:val="683C3F47"/>
    <w:rsid w:val="685C1EF3"/>
    <w:rsid w:val="688B627A"/>
    <w:rsid w:val="68F34848"/>
    <w:rsid w:val="68F3609B"/>
    <w:rsid w:val="69011AD7"/>
    <w:rsid w:val="690A5DF3"/>
    <w:rsid w:val="691C2480"/>
    <w:rsid w:val="692555CE"/>
    <w:rsid w:val="69387F8D"/>
    <w:rsid w:val="697C1865"/>
    <w:rsid w:val="697E26D9"/>
    <w:rsid w:val="699658D9"/>
    <w:rsid w:val="69B83AA1"/>
    <w:rsid w:val="69C2112A"/>
    <w:rsid w:val="69CD2555"/>
    <w:rsid w:val="69F16D86"/>
    <w:rsid w:val="6A13112E"/>
    <w:rsid w:val="6A190F05"/>
    <w:rsid w:val="6A1C5ABE"/>
    <w:rsid w:val="6A210879"/>
    <w:rsid w:val="6A2A530E"/>
    <w:rsid w:val="6A3C7E89"/>
    <w:rsid w:val="6A3E27FB"/>
    <w:rsid w:val="6A832B9D"/>
    <w:rsid w:val="6A935974"/>
    <w:rsid w:val="6A9C6F1F"/>
    <w:rsid w:val="6AB853DB"/>
    <w:rsid w:val="6ABF6769"/>
    <w:rsid w:val="6AD761A9"/>
    <w:rsid w:val="6AE52866"/>
    <w:rsid w:val="6B054560"/>
    <w:rsid w:val="6B20451D"/>
    <w:rsid w:val="6B3A7CC4"/>
    <w:rsid w:val="6B601CFA"/>
    <w:rsid w:val="6B6F0718"/>
    <w:rsid w:val="6B831398"/>
    <w:rsid w:val="6B8359E9"/>
    <w:rsid w:val="6B881F9E"/>
    <w:rsid w:val="6B944228"/>
    <w:rsid w:val="6B986CCE"/>
    <w:rsid w:val="6C116707"/>
    <w:rsid w:val="6C411B2C"/>
    <w:rsid w:val="6C44786E"/>
    <w:rsid w:val="6C496C32"/>
    <w:rsid w:val="6C5C4BB7"/>
    <w:rsid w:val="6C5F09EF"/>
    <w:rsid w:val="6C7E607E"/>
    <w:rsid w:val="6C8608FA"/>
    <w:rsid w:val="6CA00CC7"/>
    <w:rsid w:val="6CB247D7"/>
    <w:rsid w:val="6CB86741"/>
    <w:rsid w:val="6CBC6B37"/>
    <w:rsid w:val="6CCE189F"/>
    <w:rsid w:val="6CD15D7A"/>
    <w:rsid w:val="6CD37DD1"/>
    <w:rsid w:val="6CE1317B"/>
    <w:rsid w:val="6D0F5066"/>
    <w:rsid w:val="6D157FF8"/>
    <w:rsid w:val="6D1953D0"/>
    <w:rsid w:val="6D2D7E85"/>
    <w:rsid w:val="6D5224A4"/>
    <w:rsid w:val="6D9F73DE"/>
    <w:rsid w:val="6DC01176"/>
    <w:rsid w:val="6DC059B1"/>
    <w:rsid w:val="6DD372C3"/>
    <w:rsid w:val="6DE02D11"/>
    <w:rsid w:val="6DEA40E4"/>
    <w:rsid w:val="6E233346"/>
    <w:rsid w:val="6E3506E8"/>
    <w:rsid w:val="6E5D4C17"/>
    <w:rsid w:val="6E8629ED"/>
    <w:rsid w:val="6E9323E7"/>
    <w:rsid w:val="6E940F17"/>
    <w:rsid w:val="6E9879FD"/>
    <w:rsid w:val="6EDB462A"/>
    <w:rsid w:val="6EE175F6"/>
    <w:rsid w:val="6EEB2223"/>
    <w:rsid w:val="6EED0343"/>
    <w:rsid w:val="6EEE0B92"/>
    <w:rsid w:val="6EF02094"/>
    <w:rsid w:val="6EFE27E6"/>
    <w:rsid w:val="6F176B74"/>
    <w:rsid w:val="6F661151"/>
    <w:rsid w:val="6F8932A9"/>
    <w:rsid w:val="6FB5781F"/>
    <w:rsid w:val="6FBB690A"/>
    <w:rsid w:val="6FC66B7B"/>
    <w:rsid w:val="6FD827A7"/>
    <w:rsid w:val="6FE9155B"/>
    <w:rsid w:val="700B56ED"/>
    <w:rsid w:val="701667D8"/>
    <w:rsid w:val="703C014C"/>
    <w:rsid w:val="703D6AAE"/>
    <w:rsid w:val="70431C3A"/>
    <w:rsid w:val="704405F0"/>
    <w:rsid w:val="704936A5"/>
    <w:rsid w:val="70841CA0"/>
    <w:rsid w:val="708F3550"/>
    <w:rsid w:val="70A26911"/>
    <w:rsid w:val="70A779B5"/>
    <w:rsid w:val="70C350EB"/>
    <w:rsid w:val="70DD1077"/>
    <w:rsid w:val="70DE2274"/>
    <w:rsid w:val="71696088"/>
    <w:rsid w:val="71786157"/>
    <w:rsid w:val="718C35DE"/>
    <w:rsid w:val="71911745"/>
    <w:rsid w:val="71A861A9"/>
    <w:rsid w:val="71EF5B86"/>
    <w:rsid w:val="7209192E"/>
    <w:rsid w:val="7229469C"/>
    <w:rsid w:val="722F71D0"/>
    <w:rsid w:val="72746513"/>
    <w:rsid w:val="72761255"/>
    <w:rsid w:val="727A5D97"/>
    <w:rsid w:val="7294672D"/>
    <w:rsid w:val="72B71247"/>
    <w:rsid w:val="72BE1638"/>
    <w:rsid w:val="72C2061C"/>
    <w:rsid w:val="72CC7B91"/>
    <w:rsid w:val="72D7273C"/>
    <w:rsid w:val="73506AF8"/>
    <w:rsid w:val="736902E6"/>
    <w:rsid w:val="737A0D6C"/>
    <w:rsid w:val="73A65826"/>
    <w:rsid w:val="73AE13E6"/>
    <w:rsid w:val="73C1161F"/>
    <w:rsid w:val="73CE7FA2"/>
    <w:rsid w:val="73D019E7"/>
    <w:rsid w:val="73D46311"/>
    <w:rsid w:val="73E10D11"/>
    <w:rsid w:val="73E47E37"/>
    <w:rsid w:val="73F31B7F"/>
    <w:rsid w:val="73F42C05"/>
    <w:rsid w:val="74062742"/>
    <w:rsid w:val="74143FCA"/>
    <w:rsid w:val="7439758C"/>
    <w:rsid w:val="74412BC6"/>
    <w:rsid w:val="74825BEE"/>
    <w:rsid w:val="74861836"/>
    <w:rsid w:val="74B719EB"/>
    <w:rsid w:val="74D618E9"/>
    <w:rsid w:val="74DD43BC"/>
    <w:rsid w:val="74FD4A5E"/>
    <w:rsid w:val="75023E22"/>
    <w:rsid w:val="751A5610"/>
    <w:rsid w:val="751A7862"/>
    <w:rsid w:val="752079B2"/>
    <w:rsid w:val="752A075A"/>
    <w:rsid w:val="75333E59"/>
    <w:rsid w:val="75540CEB"/>
    <w:rsid w:val="755723C0"/>
    <w:rsid w:val="755E3DA9"/>
    <w:rsid w:val="759C783B"/>
    <w:rsid w:val="75B3511C"/>
    <w:rsid w:val="75BF4EDE"/>
    <w:rsid w:val="75C04AD6"/>
    <w:rsid w:val="75C63C0B"/>
    <w:rsid w:val="75C946E7"/>
    <w:rsid w:val="75D04B42"/>
    <w:rsid w:val="75DA089D"/>
    <w:rsid w:val="75DF5F11"/>
    <w:rsid w:val="75DF6534"/>
    <w:rsid w:val="760032A4"/>
    <w:rsid w:val="763D5322"/>
    <w:rsid w:val="76457CC4"/>
    <w:rsid w:val="764C582D"/>
    <w:rsid w:val="76675ECC"/>
    <w:rsid w:val="768367C5"/>
    <w:rsid w:val="768947FB"/>
    <w:rsid w:val="769B0A1F"/>
    <w:rsid w:val="76DE560A"/>
    <w:rsid w:val="76DF3FDC"/>
    <w:rsid w:val="76E539FB"/>
    <w:rsid w:val="771E4F04"/>
    <w:rsid w:val="778E7BEF"/>
    <w:rsid w:val="77C22D04"/>
    <w:rsid w:val="77D87EB9"/>
    <w:rsid w:val="77E34347"/>
    <w:rsid w:val="77F53EDC"/>
    <w:rsid w:val="77F66B30"/>
    <w:rsid w:val="77F84CF4"/>
    <w:rsid w:val="78130758"/>
    <w:rsid w:val="78153E6C"/>
    <w:rsid w:val="785E1CB7"/>
    <w:rsid w:val="787E5EB6"/>
    <w:rsid w:val="78CA0BDB"/>
    <w:rsid w:val="79100B91"/>
    <w:rsid w:val="79220E15"/>
    <w:rsid w:val="794F22D1"/>
    <w:rsid w:val="79906B29"/>
    <w:rsid w:val="7993773F"/>
    <w:rsid w:val="79945F12"/>
    <w:rsid w:val="79B62A1E"/>
    <w:rsid w:val="79BC084E"/>
    <w:rsid w:val="79CE0777"/>
    <w:rsid w:val="79D27888"/>
    <w:rsid w:val="79E36198"/>
    <w:rsid w:val="79E93803"/>
    <w:rsid w:val="79F52AF3"/>
    <w:rsid w:val="7A01510B"/>
    <w:rsid w:val="7A2F262D"/>
    <w:rsid w:val="7A300EBD"/>
    <w:rsid w:val="7A3D7370"/>
    <w:rsid w:val="7A5C5ED7"/>
    <w:rsid w:val="7A6D1FDC"/>
    <w:rsid w:val="7AC92C87"/>
    <w:rsid w:val="7ACF5BB1"/>
    <w:rsid w:val="7ADC7221"/>
    <w:rsid w:val="7AF86D86"/>
    <w:rsid w:val="7AFA5339"/>
    <w:rsid w:val="7B2658A4"/>
    <w:rsid w:val="7B614DCA"/>
    <w:rsid w:val="7B725FBC"/>
    <w:rsid w:val="7B75534E"/>
    <w:rsid w:val="7B7F4C73"/>
    <w:rsid w:val="7B8F65E6"/>
    <w:rsid w:val="7BA6760F"/>
    <w:rsid w:val="7BAF050F"/>
    <w:rsid w:val="7BB046A3"/>
    <w:rsid w:val="7C0C644A"/>
    <w:rsid w:val="7C1A07C8"/>
    <w:rsid w:val="7C2B4146"/>
    <w:rsid w:val="7C417AEE"/>
    <w:rsid w:val="7C5268A0"/>
    <w:rsid w:val="7C5935BC"/>
    <w:rsid w:val="7C6B411D"/>
    <w:rsid w:val="7C81520A"/>
    <w:rsid w:val="7CB15EF2"/>
    <w:rsid w:val="7CC01B60"/>
    <w:rsid w:val="7CCF01AF"/>
    <w:rsid w:val="7CEB2AC0"/>
    <w:rsid w:val="7D1C3409"/>
    <w:rsid w:val="7D1D08E9"/>
    <w:rsid w:val="7D376310"/>
    <w:rsid w:val="7D4B095E"/>
    <w:rsid w:val="7D4D6488"/>
    <w:rsid w:val="7D4E5E48"/>
    <w:rsid w:val="7D4E6E75"/>
    <w:rsid w:val="7D562F5D"/>
    <w:rsid w:val="7D572217"/>
    <w:rsid w:val="7D5D42EC"/>
    <w:rsid w:val="7D624406"/>
    <w:rsid w:val="7D751A60"/>
    <w:rsid w:val="7D807D1A"/>
    <w:rsid w:val="7D925FAF"/>
    <w:rsid w:val="7D963A85"/>
    <w:rsid w:val="7D9853AD"/>
    <w:rsid w:val="7DA509E2"/>
    <w:rsid w:val="7DB5721B"/>
    <w:rsid w:val="7DC23325"/>
    <w:rsid w:val="7DD30A52"/>
    <w:rsid w:val="7DDD792B"/>
    <w:rsid w:val="7DE53484"/>
    <w:rsid w:val="7DF033B2"/>
    <w:rsid w:val="7DF6038C"/>
    <w:rsid w:val="7E190142"/>
    <w:rsid w:val="7E2E7A36"/>
    <w:rsid w:val="7E3E157E"/>
    <w:rsid w:val="7E3F75D2"/>
    <w:rsid w:val="7E6F077A"/>
    <w:rsid w:val="7E722181"/>
    <w:rsid w:val="7E9A7BD1"/>
    <w:rsid w:val="7EF14CE7"/>
    <w:rsid w:val="7EFE1AFE"/>
    <w:rsid w:val="7F181708"/>
    <w:rsid w:val="7F2143A1"/>
    <w:rsid w:val="7F2826D7"/>
    <w:rsid w:val="7F475253"/>
    <w:rsid w:val="7F547198"/>
    <w:rsid w:val="7F570E2A"/>
    <w:rsid w:val="7F581E71"/>
    <w:rsid w:val="7F601E71"/>
    <w:rsid w:val="7F963EAF"/>
    <w:rsid w:val="7F9C0335"/>
    <w:rsid w:val="7FA615E8"/>
    <w:rsid w:val="7FAF1ED9"/>
    <w:rsid w:val="7FD177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1"/>
    <w:pPr>
      <w:spacing w:after="150" w:line="360" w:lineRule="auto"/>
      <w:ind w:firstLine="200" w:firstLineChars="200"/>
      <w:jc w:val="both"/>
    </w:pPr>
    <w:rPr>
      <w:rFonts w:ascii="宋体" w:hAnsi="宋体" w:eastAsia="宋体" w:cs="宋体"/>
      <w:sz w:val="22"/>
      <w:szCs w:val="22"/>
      <w:lang w:val="en-US" w:eastAsia="en-US" w:bidi="ar-SA"/>
    </w:rPr>
  </w:style>
  <w:style w:type="paragraph" w:styleId="2">
    <w:name w:val="heading 1"/>
    <w:basedOn w:val="1"/>
    <w:next w:val="1"/>
    <w:link w:val="25"/>
    <w:autoRedefine/>
    <w:qFormat/>
    <w:uiPriority w:val="0"/>
    <w:pPr>
      <w:keepNext/>
      <w:keepLines/>
      <w:snapToGrid w:val="0"/>
      <w:spacing w:before="50" w:beforeLines="50" w:after="50" w:afterLines="50" w:line="360" w:lineRule="auto"/>
      <w:ind w:right="0" w:rightChars="0" w:firstLine="0" w:firstLineChars="0"/>
      <w:jc w:val="center"/>
      <w:outlineLvl w:val="0"/>
    </w:pPr>
    <w:rPr>
      <w:rFonts w:ascii="黑体" w:hAnsi="黑体" w:eastAsia="黑体" w:cs="Times New Roman"/>
      <w:bCs/>
      <w:kern w:val="44"/>
      <w:sz w:val="32"/>
      <w:szCs w:val="44"/>
    </w:rPr>
  </w:style>
  <w:style w:type="paragraph" w:styleId="3">
    <w:name w:val="heading 2"/>
    <w:basedOn w:val="1"/>
    <w:next w:val="1"/>
    <w:autoRedefine/>
    <w:unhideWhenUsed/>
    <w:qFormat/>
    <w:uiPriority w:val="0"/>
    <w:pPr>
      <w:keepNext/>
      <w:keepLines/>
      <w:spacing w:before="100" w:beforeLines="0" w:beforeAutospacing="0" w:after="100" w:afterLines="0" w:afterAutospacing="0" w:line="413" w:lineRule="auto"/>
      <w:ind w:firstLine="723" w:firstLineChars="200"/>
      <w:outlineLvl w:val="1"/>
    </w:pPr>
    <w:rPr>
      <w:rFonts w:ascii="Arial" w:hAnsi="Arial" w:eastAsia="黑体" w:cs="Times New Roman"/>
      <w:b/>
      <w:sz w:val="30"/>
      <w:szCs w:val="22"/>
    </w:rPr>
  </w:style>
  <w:style w:type="paragraph" w:styleId="4">
    <w:name w:val="heading 3"/>
    <w:basedOn w:val="1"/>
    <w:next w:val="1"/>
    <w:autoRedefine/>
    <w:unhideWhenUsed/>
    <w:qFormat/>
    <w:uiPriority w:val="0"/>
    <w:pPr>
      <w:keepNext/>
      <w:keepLines/>
      <w:spacing w:beforeLines="0" w:beforeAutospacing="0" w:afterLines="0" w:afterAutospacing="0" w:line="360" w:lineRule="auto"/>
      <w:ind w:firstLine="723" w:firstLineChars="200"/>
      <w:outlineLvl w:val="2"/>
    </w:pPr>
    <w:rPr>
      <w:rFonts w:ascii="Calibri" w:hAnsi="Calibri" w:eastAsia="楷体" w:cs="Times New Roman"/>
      <w:b/>
      <w:sz w:val="28"/>
    </w:rPr>
  </w:style>
  <w:style w:type="paragraph" w:styleId="5">
    <w:name w:val="heading 6"/>
    <w:basedOn w:val="1"/>
    <w:next w:val="1"/>
    <w:autoRedefine/>
    <w:qFormat/>
    <w:uiPriority w:val="0"/>
    <w:pPr>
      <w:keepNext/>
      <w:keepLines/>
      <w:numPr>
        <w:ilvl w:val="5"/>
        <w:numId w:val="1"/>
      </w:numPr>
      <w:spacing w:before="240" w:beforeLines="0" w:beforeAutospacing="0" w:after="64" w:afterLines="0" w:afterAutospacing="0" w:line="317" w:lineRule="auto"/>
      <w:ind w:left="1152" w:hanging="1152"/>
      <w:outlineLvl w:val="5"/>
    </w:pPr>
    <w:rPr>
      <w:rFonts w:ascii="Arial" w:hAnsi="Arial" w:eastAsia="黑体"/>
      <w:b/>
      <w:sz w:val="24"/>
    </w:rPr>
  </w:style>
  <w:style w:type="character" w:default="1" w:styleId="22">
    <w:name w:val="Default Paragraph Font"/>
    <w:autoRedefine/>
    <w:semiHidden/>
    <w:qFormat/>
    <w:uiPriority w:val="0"/>
  </w:style>
  <w:style w:type="table" w:default="1" w:styleId="20">
    <w:name w:val="Normal Table"/>
    <w:autoRedefine/>
    <w:semiHidden/>
    <w:qFormat/>
    <w:uiPriority w:val="0"/>
    <w:tblPr>
      <w:tblCellMar>
        <w:top w:w="0" w:type="dxa"/>
        <w:left w:w="108" w:type="dxa"/>
        <w:bottom w:w="0" w:type="dxa"/>
        <w:right w:w="108" w:type="dxa"/>
      </w:tblCellMar>
    </w:tblPr>
  </w:style>
  <w:style w:type="paragraph" w:styleId="6">
    <w:name w:val="annotation text"/>
    <w:basedOn w:val="1"/>
    <w:autoRedefine/>
    <w:qFormat/>
    <w:uiPriority w:val="0"/>
    <w:pPr>
      <w:jc w:val="left"/>
    </w:pPr>
  </w:style>
  <w:style w:type="paragraph" w:styleId="7">
    <w:name w:val="Body Text"/>
    <w:basedOn w:val="1"/>
    <w:autoRedefine/>
    <w:qFormat/>
    <w:uiPriority w:val="1"/>
    <w:rPr>
      <w:rFonts w:ascii="宋体" w:hAnsi="宋体" w:eastAsia="宋体" w:cs="宋体"/>
      <w:sz w:val="28"/>
      <w:szCs w:val="28"/>
    </w:rPr>
  </w:style>
  <w:style w:type="paragraph" w:styleId="8">
    <w:name w:val="Body Text Indent"/>
    <w:basedOn w:val="1"/>
    <w:autoRedefine/>
    <w:qFormat/>
    <w:uiPriority w:val="0"/>
    <w:pPr>
      <w:spacing w:after="120" w:afterLines="0" w:afterAutospacing="0"/>
      <w:ind w:left="420" w:leftChars="200"/>
    </w:pPr>
  </w:style>
  <w:style w:type="paragraph" w:styleId="9">
    <w:name w:val="Plain Text"/>
    <w:basedOn w:val="1"/>
    <w:autoRedefine/>
    <w:unhideWhenUsed/>
    <w:qFormat/>
    <w:uiPriority w:val="0"/>
    <w:pPr>
      <w:widowControl w:val="0"/>
      <w:spacing w:after="0" w:line="240" w:lineRule="auto"/>
      <w:ind w:firstLine="0" w:firstLineChars="0"/>
    </w:pPr>
    <w:rPr>
      <w:rFonts w:hAnsi="Courier New" w:cs="Times New Roman"/>
      <w:kern w:val="2"/>
      <w:sz w:val="21"/>
      <w:szCs w:val="20"/>
      <w:lang w:eastAsia="zh-CN"/>
    </w:rPr>
  </w:style>
  <w:style w:type="paragraph" w:styleId="10">
    <w:name w:val="footer"/>
    <w:basedOn w:val="1"/>
    <w:autoRedefine/>
    <w:qFormat/>
    <w:uiPriority w:val="0"/>
    <w:pPr>
      <w:tabs>
        <w:tab w:val="center" w:pos="4153"/>
        <w:tab w:val="right" w:pos="8306"/>
      </w:tabs>
      <w:snapToGrid w:val="0"/>
      <w:jc w:val="left"/>
    </w:pPr>
    <w:rPr>
      <w:sz w:val="18"/>
    </w:rPr>
  </w:style>
  <w:style w:type="paragraph" w:styleId="11">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2">
    <w:name w:val="toc 1"/>
    <w:basedOn w:val="1"/>
    <w:next w:val="1"/>
    <w:autoRedefine/>
    <w:qFormat/>
    <w:uiPriority w:val="0"/>
  </w:style>
  <w:style w:type="paragraph" w:styleId="13">
    <w:name w:val="footnote text"/>
    <w:basedOn w:val="1"/>
    <w:autoRedefine/>
    <w:qFormat/>
    <w:uiPriority w:val="0"/>
    <w:pPr>
      <w:snapToGrid w:val="0"/>
      <w:jc w:val="left"/>
    </w:pPr>
    <w:rPr>
      <w:sz w:val="18"/>
    </w:rPr>
  </w:style>
  <w:style w:type="paragraph" w:styleId="14">
    <w:name w:val="toc 2"/>
    <w:basedOn w:val="1"/>
    <w:next w:val="1"/>
    <w:autoRedefine/>
    <w:qFormat/>
    <w:uiPriority w:val="0"/>
    <w:pPr>
      <w:ind w:left="420" w:leftChars="200"/>
    </w:pPr>
  </w:style>
  <w:style w:type="paragraph" w:styleId="15">
    <w:name w:val="Body Text 2"/>
    <w:basedOn w:val="1"/>
    <w:next w:val="7"/>
    <w:autoRedefine/>
    <w:qFormat/>
    <w:uiPriority w:val="0"/>
    <w:pPr>
      <w:spacing w:after="120" w:line="480" w:lineRule="auto"/>
    </w:pPr>
    <w:rPr>
      <w:szCs w:val="24"/>
    </w:rPr>
  </w:style>
  <w:style w:type="paragraph" w:styleId="16">
    <w:name w:val="Normal (Web)"/>
    <w:basedOn w:val="1"/>
    <w:autoRedefine/>
    <w:qFormat/>
    <w:uiPriority w:val="0"/>
    <w:pPr>
      <w:widowControl/>
      <w:spacing w:before="100" w:beforeAutospacing="1" w:after="100" w:afterAutospacing="1"/>
      <w:jc w:val="left"/>
    </w:pPr>
    <w:rPr>
      <w:rFonts w:ascii="宋体" w:hAnsi="宋体"/>
      <w:kern w:val="0"/>
      <w:sz w:val="24"/>
    </w:rPr>
  </w:style>
  <w:style w:type="paragraph" w:styleId="17">
    <w:name w:val="Title"/>
    <w:basedOn w:val="1"/>
    <w:autoRedefine/>
    <w:qFormat/>
    <w:uiPriority w:val="0"/>
    <w:pPr>
      <w:spacing w:before="240" w:after="60"/>
      <w:jc w:val="center"/>
      <w:outlineLvl w:val="0"/>
    </w:pPr>
    <w:rPr>
      <w:rFonts w:ascii="Arial" w:hAnsi="Arial"/>
      <w:b/>
      <w:sz w:val="32"/>
    </w:rPr>
  </w:style>
  <w:style w:type="paragraph" w:styleId="18">
    <w:name w:val="Body Text First Indent"/>
    <w:basedOn w:val="1"/>
    <w:next w:val="1"/>
    <w:autoRedefine/>
    <w:qFormat/>
    <w:uiPriority w:val="0"/>
    <w:pPr>
      <w:spacing w:after="120"/>
      <w:ind w:firstLine="420" w:firstLineChars="100"/>
    </w:pPr>
  </w:style>
  <w:style w:type="paragraph" w:styleId="19">
    <w:name w:val="Body Text First Indent 2"/>
    <w:basedOn w:val="8"/>
    <w:link w:val="26"/>
    <w:autoRedefine/>
    <w:qFormat/>
    <w:uiPriority w:val="0"/>
    <w:pPr>
      <w:ind w:left="0" w:leftChars="0" w:firstLine="420"/>
    </w:pPr>
    <w:rPr>
      <w:rFonts w:ascii="宋体" w:hAnsi="宋体" w:eastAsia="仿宋" w:cs="宋体"/>
      <w:kern w:val="0"/>
      <w:sz w:val="28"/>
      <w:szCs w:val="20"/>
      <w:lang w:eastAsia="en-US"/>
    </w:rPr>
  </w:style>
  <w:style w:type="table" w:styleId="21">
    <w:name w:val="Table Grid"/>
    <w:basedOn w:val="20"/>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Emphasis"/>
    <w:basedOn w:val="22"/>
    <w:qFormat/>
    <w:uiPriority w:val="0"/>
    <w:rPr>
      <w:i/>
    </w:rPr>
  </w:style>
  <w:style w:type="character" w:styleId="24">
    <w:name w:val="Hyperlink"/>
    <w:basedOn w:val="22"/>
    <w:qFormat/>
    <w:uiPriority w:val="0"/>
    <w:rPr>
      <w:color w:val="0000FF"/>
      <w:u w:val="single"/>
    </w:rPr>
  </w:style>
  <w:style w:type="character" w:customStyle="1" w:styleId="25">
    <w:name w:val="标题 1 Char"/>
    <w:link w:val="2"/>
    <w:autoRedefine/>
    <w:qFormat/>
    <w:uiPriority w:val="0"/>
    <w:rPr>
      <w:rFonts w:ascii="黑体" w:hAnsi="黑体" w:eastAsia="黑体" w:cs="Times New Roman"/>
      <w:b/>
      <w:bCs/>
      <w:kern w:val="44"/>
      <w:sz w:val="32"/>
      <w:szCs w:val="44"/>
    </w:rPr>
  </w:style>
  <w:style w:type="character" w:customStyle="1" w:styleId="26">
    <w:name w:val="正文文本首行缩进 2 字符"/>
    <w:link w:val="19"/>
    <w:autoRedefine/>
    <w:qFormat/>
    <w:uiPriority w:val="99"/>
    <w:rPr>
      <w:rFonts w:ascii="宋体" w:hAnsi="宋体" w:eastAsia="仿宋" w:cs="宋体"/>
      <w:kern w:val="0"/>
      <w:sz w:val="28"/>
      <w:szCs w:val="20"/>
      <w:lang w:eastAsia="en-US"/>
    </w:rPr>
  </w:style>
  <w:style w:type="paragraph" w:customStyle="1" w:styleId="27">
    <w:name w:val="WPSOffice手动目录 1"/>
    <w:autoRedefine/>
    <w:qFormat/>
    <w:uiPriority w:val="0"/>
    <w:pPr>
      <w:ind w:leftChars="0"/>
    </w:pPr>
    <w:rPr>
      <w:rFonts w:ascii="Times New Roman" w:hAnsi="Times New Roman" w:eastAsia="宋体" w:cs="Times New Roman"/>
      <w:sz w:val="20"/>
      <w:szCs w:val="20"/>
    </w:rPr>
  </w:style>
  <w:style w:type="paragraph" w:customStyle="1" w:styleId="28">
    <w:name w:val="WPSOffice手动目录 2"/>
    <w:autoRedefine/>
    <w:qFormat/>
    <w:uiPriority w:val="0"/>
    <w:pPr>
      <w:ind w:leftChars="200"/>
    </w:pPr>
    <w:rPr>
      <w:rFonts w:ascii="Times New Roman" w:hAnsi="Times New Roman" w:eastAsia="宋体" w:cs="Times New Roman"/>
      <w:sz w:val="20"/>
      <w:szCs w:val="20"/>
    </w:rPr>
  </w:style>
  <w:style w:type="paragraph" w:customStyle="1" w:styleId="29">
    <w:name w:val="Default"/>
    <w:autoRedefine/>
    <w:qFormat/>
    <w:uiPriority w:val="0"/>
    <w:pPr>
      <w:widowControl w:val="0"/>
      <w:autoSpaceDE w:val="0"/>
      <w:autoSpaceDN w:val="0"/>
      <w:adjustRightInd w:val="0"/>
    </w:pPr>
    <w:rPr>
      <w:rFonts w:ascii="Arial" w:hAnsi="Arial" w:eastAsia="宋体" w:cs="Arial"/>
      <w:color w:val="000000"/>
      <w:sz w:val="24"/>
      <w:szCs w:val="24"/>
      <w:lang w:val="en-US" w:eastAsia="zh-CN" w:bidi="ar-SA"/>
    </w:rPr>
  </w:style>
  <w:style w:type="paragraph" w:customStyle="1" w:styleId="30">
    <w:name w:val="目录 71"/>
    <w:next w:val="1"/>
    <w:autoRedefine/>
    <w:qFormat/>
    <w:uiPriority w:val="0"/>
    <w:pPr>
      <w:wordWrap w:val="0"/>
      <w:ind w:left="2550"/>
      <w:jc w:val="both"/>
    </w:pPr>
    <w:rPr>
      <w:rFonts w:ascii="宋体" w:hAnsi="宋体" w:eastAsia="Times New Roman" w:cs="Times New Roman"/>
      <w:sz w:val="21"/>
      <w:lang w:val="en-US" w:eastAsia="zh-CN" w:bidi="ar-SA"/>
    </w:rPr>
  </w:style>
  <w:style w:type="paragraph" w:customStyle="1" w:styleId="31">
    <w:name w:val="正文1"/>
    <w:basedOn w:val="19"/>
    <w:autoRedefine/>
    <w:qFormat/>
    <w:uiPriority w:val="1"/>
    <w:pPr>
      <w:spacing w:after="0"/>
      <w:ind w:left="0" w:leftChars="0" w:firstLine="560" w:firstLineChars="0"/>
    </w:pPr>
    <w:rPr>
      <w:rFonts w:ascii="Times New Roman" w:hAnsi="Times New Roman" w:eastAsia="仿宋"/>
      <w:kern w:val="0"/>
      <w:sz w:val="28"/>
      <w:szCs w:val="28"/>
    </w:rPr>
  </w:style>
  <w:style w:type="character" w:customStyle="1" w:styleId="32">
    <w:name w:val="font81"/>
    <w:basedOn w:val="22"/>
    <w:autoRedefine/>
    <w:qFormat/>
    <w:uiPriority w:val="0"/>
    <w:rPr>
      <w:rFonts w:ascii="楷体" w:hAnsi="楷体" w:eastAsia="楷体" w:cs="楷体"/>
      <w:color w:val="000000"/>
      <w:sz w:val="18"/>
      <w:szCs w:val="18"/>
      <w:u w:val="none"/>
    </w:rPr>
  </w:style>
  <w:style w:type="character" w:customStyle="1" w:styleId="33">
    <w:name w:val="font11"/>
    <w:basedOn w:val="22"/>
    <w:autoRedefine/>
    <w:qFormat/>
    <w:uiPriority w:val="0"/>
    <w:rPr>
      <w:rFonts w:hint="default" w:ascii="Arial" w:hAnsi="Arial" w:cs="Arial"/>
      <w:color w:val="000000"/>
      <w:sz w:val="18"/>
      <w:szCs w:val="18"/>
      <w:u w:val="none"/>
    </w:rPr>
  </w:style>
  <w:style w:type="character" w:customStyle="1" w:styleId="34">
    <w:name w:val="font51"/>
    <w:basedOn w:val="22"/>
    <w:autoRedefine/>
    <w:qFormat/>
    <w:uiPriority w:val="0"/>
    <w:rPr>
      <w:rFonts w:hint="eastAsia" w:ascii="宋体" w:hAnsi="宋体" w:eastAsia="宋体" w:cs="宋体"/>
      <w:color w:val="000000"/>
      <w:sz w:val="18"/>
      <w:szCs w:val="18"/>
      <w:u w:val="none"/>
    </w:rPr>
  </w:style>
  <w:style w:type="character" w:customStyle="1" w:styleId="35">
    <w:name w:val="w_正文 Char"/>
    <w:link w:val="36"/>
    <w:autoRedefine/>
    <w:qFormat/>
    <w:uiPriority w:val="0"/>
    <w:rPr>
      <w:rFonts w:ascii="Times New Roman" w:hAnsi="Times New Roman"/>
      <w:sz w:val="28"/>
      <w:szCs w:val="28"/>
    </w:rPr>
  </w:style>
  <w:style w:type="paragraph" w:customStyle="1" w:styleId="36">
    <w:name w:val="w_正文"/>
    <w:basedOn w:val="1"/>
    <w:link w:val="35"/>
    <w:autoRedefine/>
    <w:qFormat/>
    <w:uiPriority w:val="0"/>
    <w:pPr>
      <w:spacing w:line="312" w:lineRule="atLeast"/>
      <w:ind w:firstLine="560" w:firstLineChars="200"/>
    </w:pPr>
    <w:rPr>
      <w:rFonts w:ascii="Times New Roman" w:hAnsi="Times New Roman"/>
      <w:sz w:val="28"/>
      <w:szCs w:val="28"/>
    </w:rPr>
  </w:style>
  <w:style w:type="character" w:customStyle="1" w:styleId="37">
    <w:name w:val="font21"/>
    <w:basedOn w:val="22"/>
    <w:autoRedefine/>
    <w:qFormat/>
    <w:uiPriority w:val="0"/>
    <w:rPr>
      <w:rFonts w:hint="eastAsia" w:ascii="楷体" w:hAnsi="楷体" w:eastAsia="楷体" w:cs="楷体"/>
      <w:color w:val="000000"/>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header" Target="header2.xml"/><Relationship Id="rId6" Type="http://schemas.openxmlformats.org/officeDocument/2006/relationships/header" Target="header1.xml"/><Relationship Id="rId55" Type="http://schemas.openxmlformats.org/officeDocument/2006/relationships/fontTable" Target="fontTable.xml"/><Relationship Id="rId54" Type="http://schemas.openxmlformats.org/officeDocument/2006/relationships/numbering" Target="numbering.xml"/><Relationship Id="rId53" Type="http://schemas.openxmlformats.org/officeDocument/2006/relationships/customXml" Target="../customXml/item1.xml"/><Relationship Id="rId52" Type="http://schemas.openxmlformats.org/officeDocument/2006/relationships/image" Target="media/image26.png"/><Relationship Id="rId51" Type="http://schemas.openxmlformats.org/officeDocument/2006/relationships/image" Target="media/image25.png"/><Relationship Id="rId50" Type="http://schemas.openxmlformats.org/officeDocument/2006/relationships/image" Target="media/image24.png"/><Relationship Id="rId5" Type="http://schemas.openxmlformats.org/officeDocument/2006/relationships/footer" Target="footer1.xml"/><Relationship Id="rId49" Type="http://schemas.openxmlformats.org/officeDocument/2006/relationships/image" Target="media/image23.png"/><Relationship Id="rId48" Type="http://schemas.openxmlformats.org/officeDocument/2006/relationships/image" Target="media/image22.png"/><Relationship Id="rId47" Type="http://schemas.openxmlformats.org/officeDocument/2006/relationships/image" Target="media/image21.png"/><Relationship Id="rId46" Type="http://schemas.openxmlformats.org/officeDocument/2006/relationships/image" Target="media/image20.png"/><Relationship Id="rId45" Type="http://schemas.openxmlformats.org/officeDocument/2006/relationships/image" Target="media/image19.png"/><Relationship Id="rId44" Type="http://schemas.openxmlformats.org/officeDocument/2006/relationships/image" Target="media/image18.png"/><Relationship Id="rId43" Type="http://schemas.openxmlformats.org/officeDocument/2006/relationships/image" Target="media/image17.png"/><Relationship Id="rId42" Type="http://schemas.openxmlformats.org/officeDocument/2006/relationships/image" Target="media/image16.png"/><Relationship Id="rId41" Type="http://schemas.openxmlformats.org/officeDocument/2006/relationships/image" Target="media/image15.png"/><Relationship Id="rId40" Type="http://schemas.openxmlformats.org/officeDocument/2006/relationships/image" Target="media/image14.jpeg"/><Relationship Id="rId4" Type="http://schemas.openxmlformats.org/officeDocument/2006/relationships/endnotes" Target="endnotes.xml"/><Relationship Id="rId39" Type="http://schemas.openxmlformats.org/officeDocument/2006/relationships/image" Target="media/image13.png"/><Relationship Id="rId38" Type="http://schemas.openxmlformats.org/officeDocument/2006/relationships/image" Target="media/image12.png"/><Relationship Id="rId37" Type="http://schemas.openxmlformats.org/officeDocument/2006/relationships/image" Target="media/image11.png"/><Relationship Id="rId36" Type="http://schemas.openxmlformats.org/officeDocument/2006/relationships/image" Target="media/image10.png"/><Relationship Id="rId35" Type="http://schemas.openxmlformats.org/officeDocument/2006/relationships/image" Target="media/image9.png"/><Relationship Id="rId34" Type="http://schemas.openxmlformats.org/officeDocument/2006/relationships/image" Target="media/image8.png"/><Relationship Id="rId33" Type="http://schemas.openxmlformats.org/officeDocument/2006/relationships/image" Target="media/image7.png"/><Relationship Id="rId32" Type="http://schemas.openxmlformats.org/officeDocument/2006/relationships/image" Target="media/image6.png"/><Relationship Id="rId31" Type="http://schemas.openxmlformats.org/officeDocument/2006/relationships/image" Target="media/image5.jpeg"/><Relationship Id="rId30" Type="http://schemas.openxmlformats.org/officeDocument/2006/relationships/image" Target="media/image4.jpeg"/><Relationship Id="rId3" Type="http://schemas.openxmlformats.org/officeDocument/2006/relationships/footnotes" Target="footnotes.xml"/><Relationship Id="rId29" Type="http://schemas.openxmlformats.org/officeDocument/2006/relationships/image" Target="media/image3.jpeg"/><Relationship Id="rId28" Type="http://schemas.openxmlformats.org/officeDocument/2006/relationships/image" Target="media/image2.jpeg"/><Relationship Id="rId27" Type="http://schemas.openxmlformats.org/officeDocument/2006/relationships/image" Target="media/image1.png"/><Relationship Id="rId26" Type="http://schemas.openxmlformats.org/officeDocument/2006/relationships/theme" Target="theme/theme1.xml"/><Relationship Id="rId25" Type="http://schemas.openxmlformats.org/officeDocument/2006/relationships/header" Target="header12.xml"/><Relationship Id="rId24" Type="http://schemas.openxmlformats.org/officeDocument/2006/relationships/header" Target="header11.xml"/><Relationship Id="rId23" Type="http://schemas.openxmlformats.org/officeDocument/2006/relationships/footer" Target="footer9.xml"/><Relationship Id="rId22" Type="http://schemas.openxmlformats.org/officeDocument/2006/relationships/footer" Target="footer8.xml"/><Relationship Id="rId21" Type="http://schemas.openxmlformats.org/officeDocument/2006/relationships/footer" Target="footer7.xml"/><Relationship Id="rId20" Type="http://schemas.openxmlformats.org/officeDocument/2006/relationships/footer" Target="footer6.xml"/><Relationship Id="rId2" Type="http://schemas.openxmlformats.org/officeDocument/2006/relationships/settings" Target="settings.xml"/><Relationship Id="rId19" Type="http://schemas.openxmlformats.org/officeDocument/2006/relationships/header" Target="header10.xml"/><Relationship Id="rId18" Type="http://schemas.openxmlformats.org/officeDocument/2006/relationships/footer" Target="footer5.xml"/><Relationship Id="rId17" Type="http://schemas.openxmlformats.org/officeDocument/2006/relationships/header" Target="header9.xml"/><Relationship Id="rId16" Type="http://schemas.openxmlformats.org/officeDocument/2006/relationships/header" Target="header8.xml"/><Relationship Id="rId15" Type="http://schemas.openxmlformats.org/officeDocument/2006/relationships/header" Target="header7.xml"/><Relationship Id="rId14" Type="http://schemas.openxmlformats.org/officeDocument/2006/relationships/footer" Target="footer4.xml"/><Relationship Id="rId13" Type="http://schemas.openxmlformats.org/officeDocument/2006/relationships/footer" Target="footer3.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119</Pages>
  <Words>11551</Words>
  <Characters>12908</Characters>
  <Lines>0</Lines>
  <Paragraphs>0</Paragraphs>
  <TotalTime>0</TotalTime>
  <ScaleCrop>false</ScaleCrop>
  <LinksUpToDate>false</LinksUpToDate>
  <CharactersWithSpaces>13283</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2022-06-12T04:47:00Z</dcterms:created>
  <dc:creator>VKING</dc:creator>
  <cp:lastModifiedBy>linren</cp:lastModifiedBy>
  <cp:lastPrinted>2024-03-20T02:56:00Z</cp:lastPrinted>
  <dcterms:modified xsi:type="dcterms:W3CDTF">2024-12-12T02:31:40Z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78F4EC4EA13E44969ABF7596F89F7A02_13</vt:lpwstr>
  </property>
</Properties>
</file>